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图示均衡电路-eq"/>
    <w:p>
      <w:pPr>
        <w:pStyle w:val="Heading1"/>
      </w:pPr>
      <w:r>
        <w:rPr>
          <w:rFonts w:hint="eastAsia" w:eastAsia="黑体"/>
        </w:rPr>
        <w:t xml:space="preserve">图示均衡电路</w:t>
      </w:r>
      <w:r>
        <w:rPr>
          <w:rFonts w:eastAsia="黑体"/>
        </w:rPr>
        <w:t xml:space="preserve"> EQ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图示均衡电路以单段”运放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＋回旋器等效电感”的带通型为例，由运放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、负反馈电阻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、输入电阻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、回旋器电容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、回旋器电阻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与频段调节电位器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组成；多段时各段并联在公共母线上。节点定义如下：输入节点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接信号源及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；运放反相输入节点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汇集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与反馈支路；输出节点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为运放输出；电位器中点节点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的滑动端；回旋器等效电感连接节点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与回旋器相连处；地节点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汇集各电阻冷端与回旋器接地端。</w:t>
      </w:r>
    </w:p>
    <w:p>
      <w:pPr/>
      <w:r>
        <w:rPr>
          <w:rFonts w:hint="eastAsia" w:eastAsia="黑体"/>
        </w:rPr>
        <w:t xml:space="preserve">各元件管脚连接：运放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，IN+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，V+、V−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分接正负电源；输入电阻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；反馈电阻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；电位器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、滑动端接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；回旋器中电容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，另一端接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、另一端接运放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的输出（作为回旋器的同相正反馈电阻）；电阻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构成分压把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的电压反馈到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，使回旋器呈现等效电感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  <m:sSub>
          <m:e>
            <m:r>
              <m:t>R</m:t>
            </m:r>
          </m:e>
          <m:sub>
            <m:r>
              <m:t>2</m:t>
            </m:r>
          </m:sub>
        </m:sSub>
        <m:r>
          <m:t>C</m:t>
        </m:r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该段拓扑为运放加回旋器模拟电感的带通谐振段，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之间滑动即改变该频段的提升/衰减量；多段并接叠加即构成图示均衡器。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每个频段是一个中心频率固定的带通滤波/谐振网络，电位器改变该频段在带通内的提升或衰减量，其余频率基本不受影响。所有频段叠加后，用户可通过电位器位置直观看出曲线的形状，实现对频响的分段整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各段中心频率（等比排列，相邻比为</w:t>
      </w:r>
      <w:r>
        <w:rPr>
          <w:rFonts w:eastAsia="黑体"/>
        </w:rPr>
        <w:t xml:space="preserve"> </w:t>
      </w:r>
      <m:oMath>
        <m:r>
          <m:t>k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sSub>
            <m:e>
              <m:r>
                <m:t>f</m:t>
              </m:r>
            </m:e>
            <m:sub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回旋器等效电感：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谐振中心频率：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  <m:r>
                    <m:t>C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C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B</m:t>
              </m:r>
              <m:r>
                <m:t>W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谐振中心频率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回旋器等效电感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回旋器电阻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频段带宽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R1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R2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等效电感增大，中心频率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C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中心频率下降，各段频率整体下移。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Q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该段影响频带变窄，相邻频段重叠减小、调节更精细。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电位器处于中点时该段增益为</w:t>
      </w:r>
      <w:r>
        <w:rPr>
          <w:rFonts w:eastAsia="黑体"/>
        </w:rPr>
        <w:t xml:space="preserve"> 0 </w:t>
      </w:r>
      <w:r>
        <w:rPr>
          <w:rFonts w:hint="eastAsia" w:eastAsia="黑体"/>
        </w:rPr>
        <w:t xml:space="preserve">dB，两端分别对应最大提升与最大衰减。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10 </w:t>
      </w:r>
      <w:r>
        <w:rPr>
          <w:rFonts w:hint="eastAsia" w:eastAsia="黑体"/>
        </w:rPr>
        <w:t xml:space="preserve">段图示均衡相邻频率比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=</m:t>
        </m:r>
        <m:rad>
          <m:deg>
            <m:r>
              <m:t>10</m:t>
            </m:r>
          </m:deg>
          <m:e>
            <m:f>
              <m:fPr>
                <m:type m:val="bar"/>
              </m:fPr>
              <m:num>
                <m:r>
                  <m:t>20000</m:t>
                </m:r>
              </m:num>
              <m:den>
                <m:r>
                  <m:t>31.25</m:t>
                </m:r>
              </m:den>
            </m:f>
          </m:e>
        </m:rad>
        <m:r>
          <m:rPr>
            <m:sty m:val="p"/>
          </m:rPr>
          <m:t>≈</m:t>
        </m:r>
        <m:r>
          <m:t>2</m:t>
        </m:r>
      </m:oMath>
      <w:r>
        <w:rPr>
          <w:rFonts w:hint="eastAsia" w:eastAsia="黑体"/>
        </w:rPr>
        <w:t xml:space="preserve">（约按倍频程</w:t>
      </w:r>
      <w:r>
        <w:rPr>
          <w:rFonts w:eastAsia="黑体"/>
        </w:rPr>
        <w:t xml:space="preserve"> 31.25 Hz~20 kHz </w:t>
      </w:r>
      <w:r>
        <w:rPr>
          <w:rFonts w:hint="eastAsia" w:eastAsia="黑体"/>
        </w:rPr>
        <w:t xml:space="preserve">排列）。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  <m:r>
              <m:rPr>
                <m:sty m:val="p"/>
              </m:rPr>
              <m:t>×</m:t>
            </m:r>
            <m:rad>
              <m:radPr>
                <m:degHide m:val="on"/>
              </m:radPr>
              <m:deg/>
              <m:e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运放：NE5532、TL072、OPA2134、BA3812（专用图示均衡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DSP </w:t>
      </w:r>
      <w:r>
        <w:rPr>
          <w:rFonts w:hint="eastAsia" w:eastAsia="黑体"/>
        </w:rPr>
        <w:t xml:space="preserve">数字均衡：ADAU1701、TI</w:t>
      </w:r>
      <w:r>
        <w:rPr>
          <w:rFonts w:eastAsia="黑体"/>
        </w:rPr>
        <w:t xml:space="preserve"> TAS5508。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多段级联时注意相位叠加与噪声积累，应用低噪声运放。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回旋器受运放带宽限制，高频段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与增益易偏差，需留裕量。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极端提升可能导致削波，需留足输出余量或加限幅。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Equalization (audio)。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《音频信号处理》图示均衡器设计。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Analog Devices: ADAU1701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图示均衡电路EQ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图示均衡电路EQ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