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音调控制电路"/>
    <w:p>
      <w:pPr>
        <w:pStyle w:val="Heading1"/>
      </w:pPr>
      <w:r>
        <w:rPr>
          <w:rFonts w:hint="eastAsia" w:eastAsia="黑体"/>
        </w:rPr>
        <w:t xml:space="preserve">音调控制电路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一个运算放大器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（或多个运放级）与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RC </w:t>
      </w:r>
      <w:r>
        <w:rPr>
          <w:rFonts w:hint="eastAsia" w:eastAsia="黑体"/>
          <w:b/>
          <w:bCs/>
        </w:rPr>
        <w:t xml:space="preserve">频率整形网络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组成，低音段由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低音电位器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shelving（搁架式）网络，高音段由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hint="eastAsia" w:eastAsia="黑体"/>
          <w:b/>
          <w:bCs/>
        </w:rPr>
        <w:t xml:space="preserve">、电容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高音电位器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构成；另含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经输入网络接入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反相输入端节点（求和点）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一端、低音网络一端、高音网络一端相连）；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同相输入端节点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或参考电位）；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另一端、低音网络另一端、高音网络另一端相连）；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低音网络中间节点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构成的低音</w:t>
      </w:r>
      <w:r>
        <w:rPr>
          <w:rFonts w:eastAsia="黑体"/>
        </w:rPr>
        <w:t xml:space="preserve"> shelving </w:t>
      </w:r>
      <w:r>
        <w:rPr>
          <w:rFonts w:hint="eastAsia" w:eastAsia="黑体"/>
        </w:rPr>
        <w:t xml:space="preserve">分支内部两端）；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（网络接地端与电位器滑臂参考端接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接反相输入端节点、IN+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接同相输入端节点、OUT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−VEE；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一端接输入节点、另一端接反相输入端节点；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一端接反相输入端节点、另一端接低音网络中间节点；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一端接低音网络中间节点、另一端接输出节点（与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滑臂一起调节低音提升/衰减）；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一端接反相输入端节点、另一端接高音网络中间节点；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一端接高音网络中间节点、另一端接输出节点（与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滑臂一起调节高音提升/衰减）；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P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的一端与滑臂分别接对应网络节点、另一端接输出节点或地。</w:t>
      </w:r>
    </w:p>
    <w:p>
      <w:pPr/>
      <w:r>
        <w:rPr>
          <w:rFonts w:hint="eastAsia" w:eastAsia="黑体"/>
        </w:rPr>
        <w:t xml:space="preserve">由此构成”运放负反馈环内接入低音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-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与高音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-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频率整形网络、电位器改变反馈量与输入分压”的有源音调控制组态，低音段由大时间常数的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网络决定转折频率、高音段由小时间常数网络决定，对低频（bass）与高频（treble）幅度做可调提升或衰减，是均衡器（EQ）的基本单元。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低频段由大时间常数的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网络决定转折频率，高音段由小时间常数网络决定。当电位器滑臂移动时，反馈量与输入分压随之改变，使某频段增益被提升或衰减，而其他频段保持接近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dB，形成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shelving（搁架式）或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peaking（峰值式）响应。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低音转折频率：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高音转折频率：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搁架滤波器传递函数（低通架）：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p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最大提升增益（低频段）：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低音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高音转折频率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低音段电阻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高音段电阻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零点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极点角频率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低音最大提升增益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低音转折频率下降，低音增强范围下移。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低音转折频率下降。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高音转折频率下降，高频增强提前介入。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反馈比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最大提升/衰减量增大，调节范围变宽。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电位器滑臂平移改变零点与极点位置，从而改变提升斜率与频段范围。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低音段取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33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47000</m:t>
            </m:r>
            <m:r>
              <m:rPr>
                <m:sty m:val="p"/>
              </m:rPr>
              <m:t>×</m:t>
            </m:r>
            <m:r>
              <m:t>33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103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高音段取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4.7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3.4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运放：NE5532、TL072、OPA2134、LM4562。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电位器：B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型对数单联/双联电位器；电容：薄膜电容（WIMA、Poly）。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使用对数（A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型）或线性（B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型）电位器需匹配电路设计，否则调节手感与范围不符。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级联多段</w:t>
      </w:r>
      <w:r>
        <w:rPr>
          <w:rFonts w:eastAsia="黑体"/>
        </w:rPr>
        <w:t xml:space="preserve"> EQ </w:t>
      </w:r>
      <w:r>
        <w:rPr>
          <w:rFonts w:hint="eastAsia" w:eastAsia="黑体"/>
        </w:rPr>
        <w:t xml:space="preserve">时相邻频段的重叠会影响整体响应，需统筹各段转折频率。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高提升量会带来噪声与相位畸变，实际</w:t>
      </w:r>
      <w:r>
        <w:rPr>
          <w:rFonts w:eastAsia="黑体"/>
        </w:rPr>
        <w:t xml:space="preserve"> ≥ ±12 dB </w:t>
      </w:r>
      <w:r>
        <w:rPr>
          <w:rFonts w:hint="eastAsia" w:eastAsia="黑体"/>
        </w:rPr>
        <w:t xml:space="preserve">时需关注稳定性与失真。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《音频功率放大器设计手册》（Douglas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Self）。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Equalization (audio)。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SLOA054（有源滤波器设计）。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音调控制电路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音调控制电路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