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前置放大电路"/>
    <w:p>
      <w:pPr>
        <w:pStyle w:val="Heading1"/>
      </w:pPr>
      <w:r>
        <w:rPr>
          <w:rFonts w:hint="eastAsia" w:eastAsia="黑体"/>
        </w:rPr>
        <w:t xml:space="preserve">前置放大电路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以典型的</w:t>
      </w:r>
      <w:r>
        <w:rPr>
          <w:rFonts w:hint="eastAsia" w:eastAsia="黑体"/>
          <w:b/>
          <w:bCs/>
        </w:rPr>
        <w:t xml:space="preserve">同相运算放大前置级</w:t>
      </w:r>
      <w:r>
        <w:rPr>
          <w:rFonts w:hint="eastAsia" w:eastAsia="黑体"/>
        </w:rPr>
        <w:t xml:space="preserve">为代表性实现，本电路由</w:t>
      </w:r>
      <w:r>
        <w:rPr>
          <w:rFonts w:hint="eastAsia" w:eastAsia="黑体"/>
          <w:b/>
          <w:bCs/>
        </w:rPr>
        <w:t xml:space="preserve">一个低噪声运算放大器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输入耦合电容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输入偏置电阻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接地电阻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（传感器/天线/麦克风等信号源正端与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反相输入端节点（虚地）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另一端相连，作为前置输出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，负电源脚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接同相输入端节点②、IN−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接反相输入端节点③、OUT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接输出节点④、V+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、V− </w:t>
      </w:r>
      <w:r>
        <w:rPr>
          <w:rFonts w:hint="eastAsia" w:eastAsia="黑体"/>
        </w:rPr>
        <w:t xml:space="preserve">接负电源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一端接输入节点①、另一端接同相输入端节点②；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一端接同相输入端节点②、另一端接地节点⑤；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一端接反相输入端节点③、另一端接输出节点④；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一端接反相输入端节点③、另一端接地节点⑤。</w:t>
      </w:r>
    </w:p>
    <w:p>
      <w:pPr/>
      <w:r>
        <w:rPr>
          <w:rFonts w:hint="eastAsia" w:eastAsia="黑体"/>
        </w:rPr>
        <w:t xml:space="preserve">由此构成”信号经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耦合到高输入阻抗同相端、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组成负反馈固定增益”的同相前置放大缓冲组态，输入阻抗高、不加载信号源，增益为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，把微弱信号提升到后级可处理电平并完成阻抗变换。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微弱信号经耦合进入高输入阻抗的输入端，有源器件在负反馈下以固定增益放大；高输入阻抗避免加载信号源，低噪声设计保证不显著恶化信噪比，为后级提供足够强的驱动信号。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同相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反相增益（同上）：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输入耦合高通截止频率：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源内阻对总噪声的贡献（热噪声电压）：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</m:t>
              </m:r>
              <m:r>
                <m:t>k</m:t>
              </m:r>
              <m:r>
                <m:t>T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Δ</m:t>
              </m:r>
              <m:r>
                <m:t>f</m:t>
              </m:r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输入电阻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高通截止频率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玻尔兹曼常数</w:t>
            </w:r>
            <w:r>
              <w:rPr>
                <w:rFonts w:eastAsia="黑体"/>
              </w:rPr>
              <w:t xml:space="preserve"> </w:t>
            </w:r>
            <m:oMath>
              <m:r>
                <m:t>1.38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J/K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绝对温度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源内阻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噪声带宽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增益升高、带宽与稳定性余量下降。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增益下降、输入阻抗升高（同相）。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低频截止频率降低，低频响应更深。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源内阻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热噪声增大，需更低噪声前置器件。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100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11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1.38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t>300</m:t>
            </m:r>
            <m:r>
              <m:rPr>
                <m:sty m:val="p"/>
              </m:rPr>
              <m:t>×</m:t>
            </m:r>
            <m:r>
              <m:t>1000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e>
        </m:rad>
        <m:r>
          <m:rPr>
            <m:sty m:val="p"/>
          </m:rPr>
          <m:t>≈</m:t>
        </m:r>
        <m:r>
          <m:t>0.575</m:t>
        </m:r>
        <m:r>
          <m:t> </m:t>
        </m:r>
        <m:r>
          <m:t>μ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低噪声运放：NE5534、OPA1612、AD797、LT1028。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低噪声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JFET：2SK369、BF862、J109；BJT：2SC2240、MPSA18。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前置级噪声系数对整个系统</w:t>
      </w:r>
      <w:r>
        <w:rPr>
          <w:rFonts w:eastAsia="黑体"/>
        </w:rPr>
        <w:t xml:space="preserve"> SNR </w:t>
      </w:r>
      <w:r>
        <w:rPr>
          <w:rFonts w:hint="eastAsia" w:eastAsia="黑体"/>
        </w:rPr>
        <w:t xml:space="preserve">影响最大，需优先选低噪声器件与低阻偏置。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输入耦合电容与偏置电阻形成高通，需保证其截止频率低于信号下限。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高增益时注意带宽、失调与稳定性，必要时分级放大。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TI/ADI: </w:t>
      </w:r>
      <w:r>
        <w:rPr>
          <w:rFonts w:hint="eastAsia" w:eastAsia="黑体"/>
        </w:rPr>
        <w:t xml:space="preserve">低噪声运放数据手册（OPA1612、AD797）。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Preamplifier。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前置放大电路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前置放大电路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