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弛张振荡器"/>
    <w:p>
      <w:pPr>
        <w:pStyle w:val="Heading1"/>
      </w:pPr>
      <w:r>
        <w:rPr>
          <w:rFonts w:hint="eastAsia" w:eastAsia="黑体"/>
        </w:rPr>
        <w:t xml:space="preserve">弛张振荡器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运放施密特触发器</w:t>
      </w:r>
      <w:r>
        <w:rPr>
          <w:rFonts w:eastAsia="黑体"/>
          <w:b/>
          <w:bCs/>
        </w:rPr>
        <w:t xml:space="preserve"> + RC </w:t>
      </w:r>
      <w:r>
        <w:rPr>
          <w:rFonts w:hint="eastAsia" w:eastAsia="黑体"/>
          <w:b/>
          <w:bCs/>
        </w:rPr>
        <w:t xml:space="preserve">积分充放电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（构成施密特迟滞比较器）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正反馈电阻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接地分压电阻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定时电阻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、定时电容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上端相连，由分压决定迟滞门限）；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反相（电容）节点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下端、电源负极相连）；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接同相输入节点②、IN−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接输出节点①、V+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、V− </w:t>
      </w:r>
      <w:r>
        <w:rPr>
          <w:rFonts w:hint="eastAsia" w:eastAsia="黑体"/>
        </w:rPr>
        <w:t xml:space="preserve">接负电源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一端接输出节点①、另一端接同相输入节点②；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一端接同相输入节点②、另一端接地节点④；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一端接输出节点①、另一端接反相节点③；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一端接反相节点③、另一端接地节点④。</w:t>
      </w:r>
    </w:p>
    <w:p>
      <w:pPr/>
      <w:r>
        <w:rPr>
          <w:rFonts w:hint="eastAsia" w:eastAsia="黑体"/>
        </w:rPr>
        <w:t xml:space="preserve">由此构成”输出经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充放电、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分压设定迟滞门限”的运放施密特弛张振荡器组态，电容在上、下门限之间反复翻转，输出近似方波（兼三角波），频率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R</m:t>
            </m:r>
            <m:r>
              <m:t>C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电容充电到上门限时开关翻转，改路放电；放至下门限时再次翻转，周而复始，形成自由振荡。迟滞特性决定两个翻转门限，充放电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时间常数决定周期，产生锯齿或方波输出。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施密特触发器门限（由电阻分压决定）：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三角波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方波振荡器频率：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一般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充放电电压规律：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C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下翻转门限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迟滞分压电阻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定时电阻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充放电变慢、频率下降。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迟滞比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门限范围变大、频率下降、三角波幅度增大。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门限变窄、频率升高。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电源电压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输出幅度增大（门限随比例变化）。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运放弛张振荡器取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运放（施密特）：TL072、LM358、LM311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比较器。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UJT：2N2646；555：NE555。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门限由迟滞分压决定，电源波动会影响频率与幅度稳定性。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输出近三角波需恒流源充放电，否则指数波非线性明显。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频率随温度与器件容差漂移，需精确时改用晶体振荡。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Relaxation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LM311 / </w:t>
      </w:r>
      <w:r>
        <w:rPr>
          <w:rFonts w:hint="eastAsia" w:eastAsia="黑体"/>
        </w:rPr>
        <w:t xml:space="preserve">运放振荡器应用笔记。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弛张振荡器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弛张振荡器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