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文氏电桥振荡器"/>
    <w:p>
      <w:pPr>
        <w:pStyle w:val="Heading1"/>
      </w:pPr>
      <w:r>
        <w:rPr>
          <w:rFonts w:hint="eastAsia" w:eastAsia="黑体"/>
        </w:rPr>
        <w:t xml:space="preserve">文氏电桥振荡器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本电路由</w:t>
      </w:r>
      <w:r>
        <w:rPr>
          <w:rFonts w:hint="eastAsia" w:eastAsia="黑体"/>
          <w:b/>
          <w:bCs/>
        </w:rPr>
        <w:t xml:space="preserve">一个同相运算放大器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hint="eastAsia" w:eastAsia="黑体"/>
          <w:b/>
          <w:bCs/>
        </w:rPr>
        <w:t xml:space="preserve">文氏电桥选频网络</w:t>
      </w:r>
      <w:r>
        <w:rPr>
          <w:rFonts w:hint="eastAsia" w:eastAsia="黑体"/>
        </w:rPr>
        <w:t xml:space="preserve">组成，电桥由</w:t>
      </w:r>
      <w:r>
        <w:rPr>
          <w:rFonts w:hint="eastAsia" w:eastAsia="黑体"/>
          <w:b/>
          <w:bCs/>
        </w:rPr>
        <w:t xml:space="preserve">串联阻抗臂（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与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串联）</w:t>
      </w:r>
      <w:r>
        <w:rPr>
          <w:rFonts w:hint="eastAsia" w:eastAsia="黑体"/>
        </w:rPr>
        <w:t xml:space="preserve">与</w:t>
      </w:r>
      <w:r>
        <w:rPr>
          <w:rFonts w:hint="eastAsia" w:eastAsia="黑体"/>
          <w:b/>
          <w:bCs/>
        </w:rPr>
        <w:t xml:space="preserve">并联阻抗臂（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与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并联）</w:t>
      </w:r>
      <w:r>
        <w:rPr>
          <w:rFonts w:hint="eastAsia" w:eastAsia="黑体"/>
        </w:rPr>
        <w:t xml:space="preserve">构成带通网络接到同相端作正反馈，另由</w:t>
      </w:r>
      <w:r>
        <w:rPr>
          <w:rFonts w:hint="eastAsia" w:eastAsia="黑体"/>
          <w:b/>
          <w:bCs/>
        </w:rPr>
        <w:t xml:space="preserve">反馈电阻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hint="eastAsia" w:eastAsia="黑体"/>
          <w:b/>
          <w:bCs/>
        </w:rPr>
        <w:t xml:space="preserve">、接地电阻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hint="eastAsia" w:eastAsia="黑体"/>
          <w:b/>
          <w:bCs/>
        </w:rPr>
        <w:t xml:space="preserve">串入稳幅元件（灯泡/JFET）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构成负反馈决定增益。电路共有</w:t>
      </w:r>
      <w:r>
        <w:rPr>
          <w:rFonts w:eastAsia="黑体"/>
        </w:rPr>
        <w:t xml:space="preserve"> 5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输出节点</w:t>
      </w:r>
      <w:r>
        <w:rPr>
          <w:rFonts w:hint="eastAsia" w:eastAsia="黑体"/>
        </w:rPr>
        <w:t xml:space="preserve">（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的输出端</w:t>
      </w:r>
      <w:r>
        <w:rPr>
          <w:rFonts w:eastAsia="黑体"/>
        </w:rPr>
        <w:t xml:space="preserve"> OUT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一端、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一端相连）；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串联臂中间节点</w:t>
      </w:r>
      <w:r>
        <w:rPr>
          <w:rFonts w:hint="eastAsia" w:eastAsia="黑体"/>
        </w:rPr>
        <w:t xml:space="preserve">（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另一端与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一端相连）；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同相输入节点（电桥分压点）</w:t>
      </w:r>
      <w:r>
        <w:rPr>
          <w:rFonts w:hint="eastAsia" w:eastAsia="黑体"/>
        </w:rPr>
        <w:t xml:space="preserve">（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另一端、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上端、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上端与</w:t>
      </w:r>
      <w:r>
        <w:rPr>
          <w:rFonts w:eastAsia="黑体"/>
        </w:rP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的同相输入端</w:t>
      </w:r>
      <w:r>
        <w:rPr>
          <w:rFonts w:eastAsia="黑体"/>
        </w:rPr>
        <w:t xml:space="preserve"> IN+ </w:t>
      </w:r>
      <w:r>
        <w:rPr>
          <w:rFonts w:hint="eastAsia" w:eastAsia="黑体"/>
        </w:rPr>
        <w:t xml:space="preserve">相连）；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反相输入节点</w:t>
      </w:r>
      <w:r>
        <w:rPr>
          <w:rFonts w:hint="eastAsia" w:eastAsia="黑体"/>
        </w:rPr>
        <w:t xml:space="preserve">（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的反相输入端</w:t>
      </w:r>
      <w:r>
        <w:rPr>
          <w:rFonts w:eastAsia="黑体"/>
        </w:rPr>
        <w:t xml:space="preserve"> IN−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另一端、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上端相连）；</w:t>
      </w:r>
      <w:r>
        <w:rPr>
          <w:rFonts w:hint="eastAsia" w:eastAsia="黑体"/>
          <w:b/>
          <w:bCs/>
        </w:rPr>
        <w:t xml:space="preserve">节点⑤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地节点</w:t>
      </w:r>
      <w:r>
        <w:rPr>
          <w:rFonts w:eastAsia="黑体"/>
          <w:b/>
          <w:bCs/>
        </w:rPr>
        <w:t xml:space="preserve"> GND</w:t>
      </w:r>
      <w:r>
        <w:rPr>
          <w:rFonts w:hint="eastAsia" w:eastAsia="黑体"/>
        </w:rPr>
        <w:t xml:space="preserve">（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下端、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下端、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下端相连）。</w:t>
      </w:r>
    </w:p>
    <w:p>
      <w:pPr/>
      <w:r>
        <w:rPr>
          <w:rFonts w:hint="eastAsia" w:eastAsia="黑体"/>
        </w:rPr>
        <w:t xml:space="preserve">各元件管脚连接：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的同相输入端</w:t>
      </w:r>
      <w:r>
        <w:rPr>
          <w:rFonts w:eastAsia="黑体"/>
        </w:rPr>
        <w:t xml:space="preserve"> IN+ </w:t>
      </w:r>
      <w:r>
        <w:rPr>
          <w:rFonts w:hint="eastAsia" w:eastAsia="黑体"/>
        </w:rPr>
        <w:t xml:space="preserve">接同相输入节点③、反相输入端</w:t>
      </w:r>
      <w:r>
        <w:rPr>
          <w:rFonts w:eastAsia="黑体"/>
        </w:rPr>
        <w:t xml:space="preserve"> IN− </w:t>
      </w:r>
      <w:r>
        <w:rPr>
          <w:rFonts w:hint="eastAsia" w:eastAsia="黑体"/>
        </w:rPr>
        <w:t xml:space="preserve">接反相输入节点④、OUT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接输出节点①、正电源脚</w:t>
      </w:r>
      <w:r>
        <w:rPr>
          <w:rFonts w:eastAsia="黑体"/>
        </w:rPr>
        <w:t xml:space="preserve"> V+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</m:oMath>
      <w:r>
        <w:rPr>
          <w:rFonts w:hint="eastAsia" w:eastAsia="黑体"/>
        </w:rPr>
        <w:t xml:space="preserve">、负电源脚</w:t>
      </w:r>
      <w:r>
        <w:rPr>
          <w:rFonts w:eastAsia="黑体"/>
        </w:rPr>
        <w:t xml:space="preserve"> V−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E</m:t>
            </m:r>
            <m:r>
              <m:t>E</m:t>
            </m:r>
          </m:sub>
        </m:sSub>
      </m:oMath>
      <w:r>
        <w:rPr>
          <w:rFonts w:hint="eastAsia" w:eastAsia="黑体"/>
        </w:rPr>
        <w:t xml:space="preserve">；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一端接输出节点①、另一端接串联臂中间节点②；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一端接串联臂中间节点②、另一端接同相输入节点③；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一端接同相输入节点③、另一端接地节点⑤；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一端接同相输入节点③、另一端接地节点⑤；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一端接输出节点①、另一端接反相输入节点④；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一端接反相输入节点④、另一端接地节点⑤（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处可串入灯泡/JFET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稳幅元件）。</w:t>
      </w:r>
    </w:p>
    <w:p>
      <w:pPr/>
      <w:r>
        <w:rPr>
          <w:rFonts w:hint="eastAsia" w:eastAsia="黑体"/>
        </w:rPr>
        <w:t xml:space="preserve">由此构成”文氏电桥正反馈选频、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/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负反馈决定增益（</w:t>
      </w:r>
      <m:oMath>
        <m:sSub>
          <m:e>
            <m:r>
              <m:t>A</m:t>
            </m:r>
          </m:e>
          <m:sub>
            <m:r>
              <m:t>v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f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r>
          <m:t>3</m:t>
        </m:r>
      </m:oMath>
      <w:r>
        <w:rPr>
          <w:rFonts w:hint="eastAsia" w:eastAsia="黑体"/>
        </w:rPr>
        <w:t xml:space="preserve">）、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串稳幅元件自动稳幅”的文氏电桥振荡器组态，在</w:t>
      </w:r>
      <w:r>
        <w:rPr>
          <w:rFonts w:eastAsia="黑体"/>
        </w:rP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π</m:t>
        </m:r>
        <m:r>
          <m:t>R</m:t>
        </m:r>
        <m:r>
          <m:t>C</m:t>
        </m:r>
        <m:r>
          <m:rPr>
            <m:sty m:val="p"/>
          </m:rPr>
          <m:t>)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处相移为零、衰减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1/3，环路增益等于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1，输出低失真正弦波。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文氏网络在谐振频率</w:t>
      </w:r>
      <w:r>
        <w:rPr>
          <w:rFonts w:eastAsia="黑体"/>
        </w:rP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处相移为零且衰减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1/3，同相放大器增益设为</w:t>
      </w:r>
      <w:r>
        <w:rPr>
          <w:rFonts w:eastAsia="黑体"/>
        </w:rPr>
        <w:t xml:space="preserve"> 3 </w:t>
      </w:r>
      <w:r>
        <w:rPr>
          <w:rFonts w:hint="eastAsia" w:eastAsia="黑体"/>
        </w:rPr>
        <w:t xml:space="preserve">使环路增益等于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1，实现等幅正弦振荡。负反馈中引入正温度系数灯泡</w:t>
      </w:r>
      <w:r>
        <w:rPr>
          <w:rFonts w:eastAsia="黑体"/>
        </w:rPr>
        <w:t xml:space="preserve"> / </w:t>
      </w:r>
      <w:r>
        <w:rPr>
          <w:rFonts w:hint="eastAsia" w:eastAsia="黑体"/>
        </w:rPr>
        <w:t xml:space="preserve">二极管</w:t>
      </w:r>
      <w:r>
        <w:rPr>
          <w:rFonts w:eastAsia="黑体"/>
        </w:rPr>
        <w:t xml:space="preserve"> / JFET </w:t>
      </w:r>
      <w:r>
        <w:rPr>
          <w:rFonts w:hint="eastAsia" w:eastAsia="黑体"/>
        </w:rPr>
        <w:t xml:space="preserve">自动稳幅，把增益锁定在刚好维持振荡的水平，降低失真。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振荡频率（R、C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相等时）：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r>
                <m:t>R</m:t>
              </m:r>
              <m:r>
                <m:t>C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文氏网络在</w:t>
      </w:r>
      <w:r>
        <w:rPr>
          <w:rFonts w:eastAsia="黑体"/>
        </w:rP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处反馈系数：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β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起振所需同相增益：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v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f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g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3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负反馈电阻关系：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=</m:t>
          </m:r>
          <m:r>
            <m:t>2</m:t>
          </m:r>
          <m:sSub>
            <m:e>
              <m:r>
                <m:t>R</m:t>
              </m:r>
            </m:e>
            <m:sub>
              <m:r>
                <m:t>g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</m:oMath>
            <w:r>
              <w:rPr>
                <w:rFonts w:eastAsia="黑体"/>
              </w:rPr>
              <w:t xml:space="preserve"> </w:t>
            </w:r>
            <w:r>
              <w:rPr>
                <w:rFonts w:eastAsia="黑体"/>
              </w:rPr>
              <w:t xml:space="preserve">/</w:t>
            </w:r>
            <w:r>
              <w:rPr>
                <w:rFonts w:eastAsia="黑体"/>
              </w:rPr>
              <w:t xml:space="preserve"> </w:t>
            </w:r>
            <m:oMath>
              <m:r>
                <m:t>C</m:t>
              </m:r>
            </m:oMath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电桥定时电阻</w:t>
            </w:r>
            <w:r>
              <w:rPr>
                <w:rFonts w:eastAsia="黑体"/>
              </w:rPr>
              <w:t xml:space="preserve"> / </w:t>
            </w:r>
            <w:r>
              <w:rPr>
                <w:rFonts w:hint="eastAsia" w:eastAsia="黑体"/>
              </w:rPr>
              <w:t xml:space="preserve">电容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 / 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振荡频率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反馈系数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（无量纲）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Fonts w:eastAsia="黑体"/>
              </w:rPr>
              <w:t xml:space="preserve"> </w:t>
            </w:r>
            <w:r>
              <w:rPr>
                <w:rFonts w:eastAsia="黑体"/>
              </w:rPr>
              <w:t xml:space="preserve">/</w:t>
            </w:r>
            <w:r>
              <w:rPr>
                <w:rFonts w:eastAsia="黑体"/>
              </w:rP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g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反馈</w:t>
            </w:r>
            <w:r>
              <w:rPr>
                <w:rFonts w:eastAsia="黑体"/>
              </w:rPr>
              <w:t xml:space="preserve"> / </w:t>
            </w:r>
            <w:r>
              <w:rPr>
                <w:rFonts w:hint="eastAsia" w:eastAsia="黑体"/>
              </w:rPr>
              <w:t xml:space="preserve">接地电阻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A</m:t>
                  </m:r>
                </m:e>
                <m:sub>
                  <m:r>
                    <m:t>v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同相放大增益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（无量纲）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m:oMath>
        <m:r>
          <m:t>R</m:t>
        </m:r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或</w:t>
      </w:r>
      <w:r>
        <w:rPr>
          <w:rFonts w:eastAsia="黑体"/>
          <w:b/>
          <w:bCs/>
        </w:rPr>
        <w:t xml:space="preserve"> </w:t>
      </w:r>
      <m:oMath>
        <m:r>
          <m:t>C</m:t>
        </m:r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</w:t>
      </w:r>
      <w:r>
        <w:rPr>
          <w:rFonts w:eastAsia="黑体"/>
        </w:rP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下降。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R</m:t>
            </m:r>
          </m:e>
          <m:sub>
            <m:r>
              <m:t>f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g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略大于</w:t>
      </w:r>
      <w:r>
        <w:rPr>
          <w:rFonts w:eastAsia="黑体"/>
          <w:b/>
          <w:bCs/>
        </w:rPr>
        <w:t xml:space="preserve"> 2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起振更快，但失真增大。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R</m:t>
            </m:r>
          </m:e>
          <m:sub>
            <m:r>
              <m:t>f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g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小于</w:t>
      </w:r>
      <w:r>
        <w:rPr>
          <w:rFonts w:eastAsia="黑体"/>
          <w:b/>
          <w:bCs/>
        </w:rPr>
        <w:t xml:space="preserve"> 2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环路增益不足，可能不起振。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稳幅元件（灯泡/JFET）特性变化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影响振幅稳定性与失真。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r>
          <m:t>R</m:t>
        </m:r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eastAsia="黑体"/>
        </w:rPr>
        <w:t xml:space="preserve">、</w:t>
      </w:r>
      <m:oMath>
        <m:r>
          <m:t>C</m:t>
        </m:r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nF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4</m:t>
                </m:r>
              </m:sup>
            </m:sSup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8</m:t>
                </m:r>
              </m:sup>
            </m:sSup>
          </m:den>
        </m:f>
        <m:r>
          <m:rPr>
            <m:sty m:val="p"/>
          </m:rPr>
          <m:t>≈</m:t>
        </m:r>
        <m:r>
          <m:t>1.59</m:t>
        </m:r>
        <m:r>
          <m:t> </m:t>
        </m:r>
        <m:r>
          <m:rPr>
            <m:nor/>
            <m:sty m:val="p"/>
          </m:rPr>
          <m:t>kHz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为满足</w:t>
      </w:r>
      <w:r>
        <w:rPr>
          <w:rFonts w:eastAsia="黑体"/>
        </w:rPr>
        <w:t xml:space="preserve"> </w:t>
      </w:r>
      <m:oMath>
        <m:sSub>
          <m:e>
            <m:r>
              <m:t>A</m:t>
            </m:r>
          </m:e>
          <m:sub>
            <m:r>
              <m:t>v</m:t>
            </m:r>
          </m:sub>
        </m:sSub>
        <m:r>
          <m:rPr>
            <m:sty m:val="p"/>
          </m:rPr>
          <m:t>=</m:t>
        </m:r>
        <m:r>
          <m:t>3</m:t>
        </m:r>
      </m:oMath>
      <w:r>
        <w:rPr>
          <w:rFonts w:hint="eastAsia" w:eastAsia="黑体"/>
        </w:rPr>
        <w:t xml:space="preserve">，取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hint="eastAsia" w:eastAsia="黑体"/>
        </w:rPr>
        <w:t xml:space="preserve">，则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20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运放：NE5532、TL072、OPA2134；稳幅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JFET：J113、BF245；也可用微型白炽灯稳幅。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增益必须精确等于</w:t>
      </w:r>
      <w:r>
        <w:rPr>
          <w:rFonts w:eastAsia="黑体"/>
        </w:rPr>
        <w:t xml:space="preserve"> 3 </w:t>
      </w:r>
      <w:r>
        <w:rPr>
          <w:rFonts w:hint="eastAsia" w:eastAsia="黑体"/>
        </w:rPr>
        <w:t xml:space="preserve">并配合自动稳幅，否则失真大或停振。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双联可变电阻/电容实现频率连续可调，元件需同步匹配。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稳幅环节（灯丝</w:t>
      </w:r>
      <w:r>
        <w:rPr>
          <w:rFonts w:eastAsia="黑体"/>
        </w:rPr>
        <w:t xml:space="preserve"> / </w:t>
      </w:r>
      <w:r>
        <w:rPr>
          <w:rFonts w:hint="eastAsia" w:eastAsia="黑体"/>
        </w:rPr>
        <w:t xml:space="preserve">JFET）的响应决定振幅建立时间与残波失真。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Wien bridge oscillator。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《模拟电子技术基础》（童诗白、华成英）。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TI </w:t>
      </w:r>
      <w:r>
        <w:rPr>
          <w:rFonts w:hint="eastAsia" w:eastAsia="黑体"/>
        </w:rPr>
        <w:t xml:space="preserve">应用笔记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SLOA060（Wien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bridge）。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文氏电桥振荡器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文氏电桥振荡器</dc:title>
  <dc:creator>AI 智能体</dc:creator>
  <cp:keywords/>
  <dcterms:created xsi:type="dcterms:W3CDTF">2026-09-08T14:37:12Z</dcterms:created>
  <dcterms:modified xsi:type="dcterms:W3CDTF">2026-09-08T14:37:12Z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