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m="http://schemas.openxmlformats.org/officeDocument/2006/math" xmlns:r="http://schemas.openxmlformats.org/officeDocument/2006/relationships" xmlns:w="http://schemas.openxmlformats.org/wordprocessingml/2006/main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7" w:name="压控晶振-vcxo"/>
    <w:p>
      <w:pPr>
        <w:pStyle w:val="Heading1"/>
      </w:pPr>
      <w:r>
        <w:rPr>
          <w:rFonts w:hint="eastAsia" w:eastAsia="黑体"/>
        </w:rPr>
        <w:t xml:space="preserve">压控晶振</w:t>
      </w:r>
      <w:r>
        <w:rPr>
          <w:rFonts w:eastAsia="黑体"/>
        </w:rPr>
        <w:t xml:space="preserve"> VCXO</w:t>
      </w:r>
    </w:p>
    <w:bookmarkStart w:id="19" w:name="拓扑描述"/>
    <w:p>
      <w:pPr>
        <w:pStyle w:val="Heading2"/>
      </w:pPr>
      <w:r>
        <w:rPr>
          <w:rFonts w:hint="eastAsia" w:eastAsia="黑体"/>
        </w:rPr>
        <w:t xml:space="preserve">拓扑描述</w:t>
      </w:r>
    </w:p>
    <w:p>
      <w:pPr>
        <w:pStyle w:val="FirstParagraph"/>
      </w:pPr>
      <w:r>
        <w:rPr>
          <w:rFonts w:hint="eastAsia" w:eastAsia="黑体"/>
        </w:rPr>
        <w:t xml:space="preserve">压控晶振由石英晶体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、变容二极管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hint="eastAsia" w:eastAsia="黑体"/>
        </w:rPr>
        <w:t xml:space="preserve">、耦合电容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hint="eastAsia" w:eastAsia="黑体"/>
        </w:rPr>
        <w:t xml:space="preserve">、隔离/回路电阻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及负载电容组成。节点定义如下：振荡输入节点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与振荡输出节点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的两端，晶体跨接其间；晶体负载节点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为晶体一端与变容管/耦合电容的连接点；控制电压节点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r</m:t>
            </m:r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为输入控制电压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经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的引入点；地节点</w:t>
      </w:r>
      <w:r>
        <w:rPr>
          <w:rFonts w:eastAsia="黑体"/>
        </w:rPr>
        <w:t xml:space="preserve"> GND </w:t>
      </w:r>
      <w:r>
        <w:rPr>
          <w:rFonts w:hint="eastAsia" w:eastAsia="黑体"/>
        </w:rPr>
        <w:t xml:space="preserve">汇集变容管阳极/冷端与回路电容的接地端。</w:t>
      </w:r>
    </w:p>
    <w:p>
      <w:pPr/>
      <w:r>
        <w:rPr>
          <w:rFonts w:hint="eastAsia" w:eastAsia="黑体"/>
        </w:rPr>
        <w:t xml:space="preserve">各元件管脚连接：晶体</w:t>
      </w:r>
      <w:r>
        <w:rPr>
          <w:rFonts w:eastAsia="黑体"/>
        </w:rP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的两引脚一端接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；振荡放大器</w:t>
      </w:r>
      <w:r>
        <w:rPr>
          <w:rFonts w:eastAsia="黑体"/>
        </w:rP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</w:t>
      </w:r>
      <w:r>
        <w:rPr>
          <w:rFonts w:eastAsia="黑体"/>
        </w:rPr>
        <w:t xml:space="preserve"> IN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i</m:t>
            </m:r>
            <m:r>
              <m:t>n</m:t>
            </m:r>
          </m:sub>
        </m:sSub>
      </m:oMath>
      <w:r>
        <w:rPr>
          <w:rFonts w:eastAsia="黑体"/>
        </w:rPr>
        <w:t xml:space="preserve">、OUT </w:t>
      </w:r>
      <w:r>
        <w:rPr>
          <w:rFonts w:hint="eastAsia" w:eastAsia="黑体"/>
        </w:rPr>
        <w:t xml:space="preserve">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o</m:t>
            </m:r>
            <m:r>
              <m:t>u</m:t>
            </m:r>
            <m:r>
              <m:t>t</m:t>
            </m:r>
          </m:sub>
        </m:sSub>
      </m:oMath>
      <w:r>
        <w:rPr>
          <w:rFonts w:eastAsia="黑体"/>
        </w:rPr>
        <w:t xml:space="preserve">、V+/V− </w:t>
      </w:r>
      <w:r>
        <w:rPr>
          <w:rFonts w:hint="eastAsia" w:eastAsia="黑体"/>
        </w:rPr>
        <w:t xml:space="preserve">接电源；变容二极管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的阴极接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（或经耦合电容到晶体端）、阳极接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GND；耦合电容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x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阴极（或直接串入支路）；隔离电阻</w:t>
      </w:r>
      <w:r>
        <w:rPr>
          <w:rFonts w:eastAsia="黑体"/>
        </w:rPr>
        <w:t xml:space="preserve"> </w:t>
      </w:r>
      <m:oMath>
        <m:sSub>
          <m:e>
            <m:r>
              <m:t>R</m:t>
            </m:r>
          </m:e>
          <m:sub>
            <m:r>
              <m:t>v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一端接</w:t>
      </w:r>
      <w:r>
        <w:rPr>
          <w:rFonts w:eastAsia="黑体"/>
        </w:rPr>
        <w:t xml:space="preserve"> </w:t>
      </w:r>
      <m:oMath>
        <m:sSub>
          <m:e>
            <m:r>
              <m:t>N</m:t>
            </m:r>
          </m:e>
          <m:sub>
            <m:r>
              <m:t>c</m:t>
            </m:r>
            <m:r>
              <m:t>t</m:t>
            </m:r>
            <m:r>
              <m:t>r</m:t>
            </m:r>
            <m:r>
              <m:t>l</m:t>
            </m:r>
          </m:sub>
        </m:sSub>
      </m:oMath>
      <w:r>
        <w:rPr>
          <w:rFonts w:hint="eastAsia" w:eastAsia="黑体"/>
        </w:rPr>
        <w:t xml:space="preserve">、另一端接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阴极，把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反偏加到变容管上改变结电容。</w:t>
      </w:r>
    </w:p>
    <w:p>
      <w:pPr/>
      <w:r>
        <w:rPr>
          <w:rFonts w:hint="eastAsia" w:eastAsia="黑体"/>
        </w:rPr>
        <w:t xml:space="preserve">该电路为晶体振荡器加变容二极管负载牵引结构，控制电压</w:t>
      </w:r>
      <w:r>
        <w:rPr>
          <w:rFonts w:eastAsia="黑体"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改变</w:t>
      </w:r>
      <w:r>
        <w:rPr>
          <w:rFonts w:eastAsia="黑体"/>
        </w:rP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结电容从而微调晶体谐振频率，实现电压控制的频率牵引。</w:t>
      </w:r>
    </w:p>
    <w:bookmarkEnd w:id="19"/>
    <w:bookmarkStart w:id="20" w:name="工作原理"/>
    <w:p>
      <w:pPr>
        <w:pStyle w:val="Heading2"/>
      </w:pPr>
      <w:r>
        <w:rPr>
          <w:rFonts w:hint="eastAsia" w:eastAsia="黑体"/>
        </w:rPr>
        <w:t xml:space="preserve">工作原理</w:t>
      </w:r>
    </w:p>
    <w:p>
      <w:pPr>
        <w:pStyle w:val="FirstParagraph"/>
      </w:pPr>
      <w:r>
        <w:rPr>
          <w:rFonts w:hint="eastAsia" w:eastAsia="黑体"/>
        </w:rPr>
        <w:t xml:space="preserve">变容管结电容随反偏电压增大而减小，该电容与晶体共同决定振荡频率（负载电容牵引效应）。调节控制电压即可在晶体串联/并联谐振之间小范围内连续改变输出频率，实现压控牵引。</w:t>
      </w:r>
    </w:p>
    <w:bookmarkEnd w:id="20"/>
    <w:bookmarkStart w:id="21" w:name="关键计算公式"/>
    <w:p>
      <w:pPr>
        <w:pStyle w:val="Heading2"/>
      </w:pPr>
      <w:r>
        <w:rPr>
          <w:rFonts w:hint="eastAsia" w:eastAsia="黑体"/>
        </w:rPr>
        <w:t xml:space="preserve">关键计算公式</w:t>
      </w:r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结电容—偏压关系（突变结近似）：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C</m:t>
              </m:r>
            </m:e>
            <m:sub>
              <m:r>
                <m:t>j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j</m:t>
                  </m:r>
                  <m:r>
                    <m:t>0</m:t>
                  </m:r>
                </m:sub>
              </m:sSub>
            </m:num>
            <m:den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R</m:t>
                              </m:r>
                            </m:sub>
                          </m:sSub>
                        </m:num>
                        <m:den>
                          <m:sSub>
                            <m:e>
                              <m:r>
                                <m:t>V</m:t>
                              </m:r>
                            </m:e>
                            <m:sub>
                              <m:r>
                                <m:t>b</m:t>
                              </m:r>
                              <m:r>
                                <m:t>i</m:t>
                              </m:r>
                            </m:sub>
                          </m:sSub>
                        </m:den>
                      </m:f>
                    </m:e>
                  </m:d>
                </m:e>
                <m:sup>
                  <m:r>
                    <m:t>m</m:t>
                  </m:r>
                </m:sup>
              </m:sSup>
            </m:den>
          </m:f>
        </m:oMath>
      </m:oMathPara>
    </w:p>
    <w:p>
      <w:pPr>
        <w:numPr>
          <w:ilvl w:val="0"/>
          <w:numId w:val="1001"/>
        </w:numPr>
      </w:pPr>
      <w:r>
        <w:rPr>
          <w:rFonts w:hint="eastAsia" w:eastAsia="黑体"/>
        </w:rPr>
        <w:t xml:space="preserve">牵引频率范围（近似）：</w:t>
      </w:r>
    </w:p>
    <w:p>
      <w:pPr>
        <w:spacing w:before="120" w:after="120"/>
        <w:jc w:val="center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num>
            <m:den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num>
            <m:den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den>
          </m:f>
        </m:oMath>
      </m:oMathPara>
    </w:p>
    <w:p>
      <w:pPr>
        <w:pStyle w:val="BlockText"/>
      </w:pPr>
      <w:r>
        <w:rPr>
          <w:rFonts w:hint="eastAsia" w:eastAsia="黑体"/>
        </w:rPr>
        <w:t xml:space="preserve">近似前提：该式适用于小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（负载电容变化远小于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hint="eastAsia" w:eastAsia="黑体"/>
        </w:rPr>
        <w:t xml:space="preserve">）、忽略晶体静电容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0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随负载的变化、忽略晶体与回路寄生参数的一阶近似。大范围牵引或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较大时需用完整表达式并按实际电路校正。</w:t>
      </w:r>
    </w:p>
    <w:p>
      <w:pPr>
        <w:pStyle w:val="Compact"/>
        <w:numPr>
          <w:ilvl w:val="0"/>
          <w:numId w:val="1002"/>
        </w:numPr>
      </w:pPr>
      <w:r>
        <w:rPr>
          <w:rFonts w:hint="eastAsia" w:eastAsia="黑体"/>
        </w:rPr>
        <w:t xml:space="preserve">压控灵敏度（牵引率）：</w:t>
      </w:r>
    </w:p>
    <w:p>
      <w:pPr>
        <w:pStyle w:val="Compact"/>
        <w:spacing w:before="120" w:after="120"/>
        <w:jc w:val="center"/>
      </w:pPr>
      <m:oMathPara>
        <m:oMathParaPr>
          <m:jc m:val="center"/>
        </m:oMathParaPr>
        <m:oMath>
          <m:sSub>
            <m:e>
              <m:r>
                <m:t>K</m:t>
              </m:r>
            </m:e>
            <m:sub>
              <m:r>
                <m:t>v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r>
                <m:t>f</m:t>
              </m:r>
            </m:num>
            <m:den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den>
          </m:f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符号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含义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变容管结电容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j</m:t>
                  </m:r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零偏结电容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R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反向偏压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b</m:t>
                  </m:r>
                  <m:r>
                    <m:t>i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内建电位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t>m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结电容梯度因子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晶体动态电容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晶体静电容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C</m:t>
                  </m:r>
                </m:e>
                <m:sub>
                  <m:r>
                    <m:t>L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负载电容变化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F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f</m:t>
                  </m:r>
                </m:e>
                <m:sub>
                  <m:r>
                    <m:t>0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标称频率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r>
                <m:rPr>
                  <m:sty m:val="p"/>
                </m:rPr>
                <m:t>Δ</m:t>
              </m:r>
              <m:r>
                <m:t>f</m:t>
              </m:r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频率偏移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V</m:t>
                  </m:r>
                </m:e>
                <m:sub>
                  <m:r>
                    <m:t>c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控制电压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V</w:t>
            </w:r>
          </w:p>
        </w:tc>
      </w:tr>
      <w:tr>
        <w:tc>
          <w:tcPr/>
          <w:p>
            <w:pPr>
              <w:pStyle w:val="Compact"/>
            </w:pPr>
            <m:oMath>
              <m:sSub>
                <m:e>
                  <m:r>
                    <m:t>K</m:t>
                  </m:r>
                </m:e>
                <m:sub>
                  <m:r>
                    <m:t>v</m:t>
                  </m:r>
                </m:sub>
              </m:sSub>
            </m:oMath>
            <w:r>
              <w:rPr>
                <w:rFonts w:eastAsia="黑体"/>
              </w:rPr>
              <w:t xml:space="preserve">​</w:t>
            </w:r>
          </w:p>
        </w:tc>
        <w:tc>
          <w:tcPr/>
          <w:p>
            <w:pPr>
              <w:pStyle w:val="Compact"/>
            </w:pPr>
            <w:r>
              <w:rPr>
                <w:rFonts w:hint="eastAsia" w:eastAsia="黑体"/>
              </w:rPr>
              <w:t xml:space="preserve">压控灵敏度</w:t>
            </w:r>
          </w:p>
        </w:tc>
        <w:tc>
          <w:tcPr/>
          <w:p>
            <w:pPr>
              <w:pStyle w:val="Compact"/>
            </w:pPr>
            <w:r>
              <w:rPr>
                <w:rFonts w:eastAsia="黑体"/>
              </w:rPr>
              <w:t xml:space="preserve">Hz/V</w:t>
            </w:r>
          </w:p>
        </w:tc>
      </w:tr>
    </w:tbl>
    <w:bookmarkEnd w:id="21"/>
    <w:bookmarkStart w:id="22" w:name="元件调整影响"/>
    <w:p>
      <w:pPr>
        <w:pStyle w:val="Heading2"/>
      </w:pPr>
      <w:r>
        <w:rPr>
          <w:rFonts w:hint="eastAsia" w:eastAsia="黑体"/>
        </w:rPr>
        <w:t xml:space="preserve">元件调整影响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控制电压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V</m:t>
            </m:r>
          </m:e>
          <m:sub>
            <m:r>
              <m:t>c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结电容减小，牵引频率升高（或依接法相反）。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变容管电容变化比</w:t>
      </w:r>
      <w:r>
        <w:rPr>
          <w:rFonts w:eastAsia="黑体"/>
          <w:b/>
          <w:bCs/>
        </w:rPr>
        <w:t xml:space="preserve"> (</w:t>
      </w:r>
      <m:oMath>
        <m:sSub>
          <m:e>
            <m:r>
              <m:t>C</m:t>
            </m:r>
          </m:e>
          <m:sub>
            <m:r>
              <m:t>m</m:t>
            </m:r>
            <m:r>
              <m:t>a</m:t>
            </m:r>
            <m:r>
              <m:t>x</m:t>
            </m:r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r>
              <m:t>m</m:t>
            </m:r>
            <m:r>
              <m:t>i</m:t>
            </m:r>
            <m:r>
              <m:t>n</m:t>
            </m:r>
          </m:sub>
        </m:sSub>
      </m:oMath>
      <w:r>
        <w:rPr>
          <w:rFonts w:eastAsia="黑体"/>
          <w:b/>
          <w:bCs/>
        </w:rPr>
        <w:t xml:space="preserve">)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压控牵引范围变宽。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串联耦合电容减小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限制了变容管对回路的耦合，牵引范围收窄。</w:t>
      </w:r>
    </w:p>
    <w:p>
      <w:pPr>
        <w:pStyle w:val="Compact"/>
        <w:numPr>
          <w:ilvl w:val="0"/>
          <w:numId w:val="1003"/>
        </w:numPr>
      </w:pPr>
      <w:r>
        <w:rPr>
          <w:rFonts w:hint="eastAsia" w:eastAsia="黑体"/>
          <w:b/>
          <w:bCs/>
        </w:rPr>
        <w:t xml:space="preserve">晶体</w:t>
      </w:r>
      <w:r>
        <w:rPr>
          <w:rFonts w:eastAsia="黑体"/>
          <w:b/>
          <w:bCs/>
        </w:rPr>
        <w:t xml:space="preserve"> Q </w:t>
      </w:r>
      <w:r>
        <w:rPr>
          <w:rFonts w:hint="eastAsia" w:eastAsia="黑体"/>
          <w:b/>
          <w:bCs/>
        </w:rPr>
        <w:t xml:space="preserve">值、负载电容</w:t>
      </w:r>
      <w:r>
        <w:rPr>
          <w:rFonts w:eastAsia="黑体"/>
          <w:b/>
          <w:bCs/>
        </w:rPr>
        <w:t xml:space="preserve"> </w:t>
      </w:r>
      <m:oMath>
        <m:sSub>
          <m:e>
            <m:r>
              <m:t>C</m:t>
            </m:r>
          </m:e>
          <m:sub>
            <m:r>
              <m:t>L</m:t>
            </m:r>
          </m:sub>
        </m:sSub>
      </m:oMath>
      <w:r>
        <w:rPr>
          <w:rFonts w:eastAsia="黑体"/>
          <w:b/>
          <w:bCs/>
        </w:rPr>
        <w:t xml:space="preserve"> </w:t>
      </w:r>
      <w:r>
        <w:rPr>
          <w:rFonts w:hint="eastAsia" w:eastAsia="黑体"/>
          <w:b/>
          <w:bCs/>
        </w:rPr>
        <w:t xml:space="preserve">增大</w:t>
      </w:r>
      <w:r>
        <w:rPr>
          <w:rFonts w:eastAsia="黑体"/>
        </w:rPr>
        <w:t xml:space="preserve"> </w:t>
      </w:r>
      <w:r>
        <w:rPr>
          <w:rFonts w:eastAsia="黑体"/>
        </w:rPr>
        <w:t xml:space="preserve">→ </w:t>
      </w:r>
      <w:r>
        <w:rPr>
          <w:rFonts w:hint="eastAsia" w:eastAsia="黑体"/>
        </w:rPr>
        <w:t xml:space="preserve">牵引灵敏度下降，可调范围变窄但频率更稳。</w:t>
      </w:r>
    </w:p>
    <w:bookmarkEnd w:id="22"/>
    <w:bookmarkStart w:id="23" w:name="典型参数示例"/>
    <w:p>
      <w:pPr>
        <w:pStyle w:val="Heading2"/>
      </w:pPr>
      <w:r>
        <w:rPr>
          <w:rFonts w:hint="eastAsia" w:eastAsia="黑体"/>
        </w:rPr>
        <w:t xml:space="preserve">典型参数示例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取</w:t>
      </w:r>
      <w:r>
        <w:rPr>
          <w:rFonts w:eastAsia="黑体"/>
        </w:rP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10</m:t>
        </m:r>
        <m:r>
          <m:t> </m:t>
        </m:r>
        <m:r>
          <m:rPr>
            <m:nor/>
            <m:sty m:val="p"/>
          </m:rPr>
          <m:t>fF</m:t>
        </m:r>
      </m:oMath>
      <w:r>
        <w:rPr>
          <w:rFonts w:eastAsia="黑体"/>
        </w:rPr>
        <w:t xml:space="preserve">、</w:t>
      </w:r>
      <m:oMath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eastAsia="黑体"/>
        </w:rPr>
        <w:t xml:space="preserve">、</w:t>
      </w:r>
      <m:oMath>
        <m:r>
          <m:rPr>
            <m:sty m:val="p"/>
          </m:rPr>
          <m:t>Δ</m:t>
        </m:r>
        <m:sSub>
          <m:e>
            <m:r>
              <m:t>C</m:t>
            </m:r>
          </m:e>
          <m:sub>
            <m:r>
              <m:t>L</m:t>
            </m:r>
          </m:sub>
        </m:sSub>
        <m:r>
          <m:rPr>
            <m:sty m:val="p"/>
          </m:rPr>
          <m:t>=</m:t>
        </m:r>
        <m:r>
          <m:t>2</m:t>
        </m:r>
        <m:r>
          <m:t> </m:t>
        </m:r>
        <m:r>
          <m:rPr>
            <m:nor/>
            <m:sty m:val="p"/>
          </m:rPr>
          <m:t>pF</m:t>
        </m:r>
      </m:oMath>
      <w:r>
        <w:rPr>
          <w:rFonts w:hint="eastAsia" w:eastAsia="黑体"/>
        </w:rPr>
        <w:t xml:space="preserve">：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/</m:t>
        </m:r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≈</m:t>
        </m:r>
        <m:r>
          <m:t>10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15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×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12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×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2.5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</m:oMath>
      <w:r>
        <w:rPr>
          <w:rFonts w:hint="eastAsia" w:eastAsia="黑体"/>
        </w:rPr>
        <w:t xml:space="preserve">，即约</w:t>
      </w:r>
      <w:r>
        <w:rPr>
          <w:rFonts w:eastAsia="黑体"/>
        </w:rPr>
        <w:t xml:space="preserve"> 25 ppm。</w:t>
      </w:r>
    </w:p>
    <w:p>
      <w:pPr>
        <w:pStyle w:val="Compact"/>
        <w:numPr>
          <w:ilvl w:val="0"/>
          <w:numId w:val="1004"/>
        </w:numPr>
      </w:pPr>
      <w:r>
        <w:rPr>
          <w:rFonts w:hint="eastAsia" w:eastAsia="黑体"/>
        </w:rPr>
        <w:t xml:space="preserve">牵引率</w:t>
      </w:r>
      <w:r>
        <w:rPr>
          <w:rFonts w:eastAsia="黑体"/>
        </w:rPr>
        <w:t xml:space="preserve"> </w:t>
      </w:r>
      <m:oMath>
        <m:sSub>
          <m:e>
            <m:r>
              <m:t>K</m:t>
            </m:r>
          </m:e>
          <m:sub>
            <m:r>
              <m:t>v</m:t>
            </m:r>
          </m:sub>
        </m:sSub>
        <m:r>
          <m:rPr>
            <m:sty m:val="p"/>
          </m:rPr>
          <m:t>=</m:t>
        </m:r>
        <m:r>
          <m:t>5</m:t>
        </m:r>
        <m:r>
          <m:t> </m:t>
        </m:r>
        <m:r>
          <m:rPr>
            <m:nor/>
            <m:sty m:val="p"/>
          </m:rPr>
          <m:t>ppm/V</m:t>
        </m:r>
      </m:oMath>
      <w:r>
        <w:rPr>
          <w:rFonts w:eastAsia="黑体"/>
        </w:rPr>
        <w:t xml:space="preserve">、</w:t>
      </w:r>
      <m:oMath>
        <m:sSub>
          <m:e>
            <m:r>
              <m:t>f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20</m:t>
        </m:r>
        <m:r>
          <m:t> </m:t>
        </m:r>
        <m:r>
          <m:rPr>
            <m:nor/>
            <m:sty m:val="p"/>
          </m:rPr>
          <m:t>MHz</m:t>
        </m:r>
      </m:oMath>
      <w:r>
        <w:rPr>
          <w:rFonts w:hint="eastAsia" w:eastAsia="黑体"/>
        </w:rPr>
        <w:t xml:space="preserve">：每伏电压改变频率</w:t>
      </w:r>
      <w:r>
        <w:rPr>
          <w:rFonts w:eastAsia="黑体"/>
        </w:rPr>
        <w:t xml:space="preserve"> </w:t>
      </w:r>
      <m:oMath>
        <m:r>
          <m:rPr>
            <m:sty m:val="p"/>
          </m:rPr>
          <m:t>Δ</m:t>
        </m:r>
        <m:r>
          <m:t>f</m:t>
        </m:r>
        <m:r>
          <m:rPr>
            <m:sty m:val="p"/>
          </m:rPr>
          <m:t>=</m:t>
        </m:r>
        <m:r>
          <m:t>20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6</m:t>
            </m:r>
          </m:sup>
        </m:sSup>
        <m:r>
          <m:rPr>
            <m:sty m:val="p"/>
          </m:rPr>
          <m:t>×</m:t>
        </m:r>
        <m:r>
          <m:t>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  <m:r>
          <m:rPr>
            <m:sty m:val="p"/>
          </m:rPr>
          <m:t>=</m:t>
        </m:r>
        <m:r>
          <m:t>100</m:t>
        </m:r>
        <m:r>
          <m:t> </m:t>
        </m:r>
        <m:r>
          <m:rPr>
            <m:nor/>
            <m:sty m:val="p"/>
          </m:rPr>
          <m:t>Hz</m:t>
        </m:r>
      </m:oMath>
      <w:r>
        <w:rPr>
          <w:rFonts w:eastAsia="黑体"/>
        </w:rPr>
        <w:t xml:space="preserve">。</w:t>
      </w:r>
    </w:p>
    <w:bookmarkEnd w:id="23"/>
    <w:bookmarkStart w:id="24" w:name="常见器件型号"/>
    <w:p>
      <w:pPr>
        <w:pStyle w:val="Heading2"/>
      </w:pPr>
      <w:r>
        <w:rPr>
          <w:rFonts w:hint="eastAsia" w:eastAsia="黑体"/>
        </w:rPr>
        <w:t xml:space="preserve">常见器件型号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变容二极管：BB910、BB131、1SV264。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熟称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VCXO，常见频率</w:t>
      </w:r>
      <w:r>
        <w:rPr>
          <w:rFonts w:eastAsia="黑体"/>
        </w:rPr>
        <w:t xml:space="preserve"> 12.8 / 19.44 / 155.52 MHz。</w:t>
      </w:r>
    </w:p>
    <w:p>
      <w:pPr>
        <w:pStyle w:val="Compact"/>
        <w:numPr>
          <w:ilvl w:val="0"/>
          <w:numId w:val="1005"/>
        </w:numPr>
      </w:pPr>
      <w:r>
        <w:rPr>
          <w:rFonts w:hint="eastAsia" w:eastAsia="黑体"/>
        </w:rPr>
        <w:t xml:space="preserve">常用：按需选型（PLL、电信网同步）。</w:t>
      </w:r>
    </w:p>
    <w:bookmarkEnd w:id="24"/>
    <w:bookmarkStart w:id="25" w:name="注意事项"/>
    <w:p>
      <w:pPr>
        <w:pStyle w:val="Heading2"/>
      </w:pPr>
      <w:r>
        <w:rPr>
          <w:rFonts w:hint="eastAsia" w:eastAsia="黑体"/>
        </w:rPr>
        <w:t xml:space="preserve">注意事项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牵引范围通常仅百</w:t>
      </w:r>
      <w:r>
        <w:rPr>
          <w:rFonts w:eastAsia="黑体"/>
        </w:rPr>
        <w:t xml:space="preserve"> ppm </w:t>
      </w:r>
      <w:r>
        <w:rPr>
          <w:rFonts w:hint="eastAsia" w:eastAsia="黑体"/>
        </w:rPr>
        <w:t xml:space="preserve">级，不能用于大幅调谐。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控制电压纹波会直接转化为频率抖动（相位噪声），需滤除。</w:t>
      </w:r>
    </w:p>
    <w:p>
      <w:pPr>
        <w:pStyle w:val="Compact"/>
        <w:numPr>
          <w:ilvl w:val="0"/>
          <w:numId w:val="1006"/>
        </w:numPr>
      </w:pPr>
      <w:r>
        <w:rPr>
          <w:rFonts w:hint="eastAsia" w:eastAsia="黑体"/>
        </w:rPr>
        <w:t xml:space="preserve">变容管非线性会在大牵引时引入失真，PLL</w:t>
      </w:r>
      <w:r>
        <w:rPr>
          <w:rFonts w:eastAsia="黑体"/>
        </w:rPr>
        <w:t xml:space="preserve"> </w:t>
      </w:r>
      <w:r>
        <w:rPr>
          <w:rFonts w:hint="eastAsia" w:eastAsia="黑体"/>
        </w:rPr>
        <w:t xml:space="preserve">应用需关注线性度。</w:t>
      </w:r>
    </w:p>
    <w:bookmarkEnd w:id="25"/>
    <w:bookmarkStart w:id="26" w:name="参考资料"/>
    <w:p>
      <w:pPr>
        <w:pStyle w:val="Heading2"/>
      </w:pPr>
      <w:r>
        <w:rPr>
          <w:rFonts w:hint="eastAsia" w:eastAsia="黑体"/>
        </w:rPr>
        <w:t xml:space="preserve">参考资料</w:t>
      </w:r>
    </w:p>
    <w:p>
      <w:pPr>
        <w:pStyle w:val="Compact"/>
        <w:numPr>
          <w:ilvl w:val="0"/>
          <w:numId w:val="1007"/>
        </w:numPr>
      </w:pPr>
      <w:r>
        <w:rPr>
          <w:rFonts w:eastAsia="黑体"/>
        </w:rPr>
        <w:t xml:space="preserve">Wikipedia: Voltage-controlled oscillator。</w:t>
      </w:r>
    </w:p>
    <w:p>
      <w:pPr>
        <w:pStyle w:val="Compact"/>
        <w:numPr>
          <w:ilvl w:val="0"/>
          <w:numId w:val="1007"/>
        </w:numPr>
      </w:pPr>
      <w:r>
        <w:rPr>
          <w:rFonts w:hint="eastAsia" w:eastAsia="黑体"/>
        </w:rPr>
        <w:t xml:space="preserve">《锁相技术》相关章节。</w:t>
      </w:r>
    </w:p>
    <w:bookmarkEnd w:id="26"/>
    <w:bookmarkEnd w:id="27"/>
    <w:p>
      <w:pPr>
        <w:spacing w:before="360"/>
        <w:jc w:val="center"/>
      </w:pPr>
      <w:r>
        <w:rPr>
          <w:rFonts w:ascii="Times New Roman" w:hAnsi="Times New Roman" w:eastAsia="黑体"/>
          <w:color w:val="555555"/>
          <w:sz w:val="21"/>
        </w:rPr>
        <w:t>材料收集者：杜文杰，WX手机：19519196569，QQ:3478827729</w:t>
      </w:r>
    </w:p>
    <w:sectPr w:rsidR="00FC693F" w:rsidRPr="0006063C" w:rsidSect="00034616">
      <w:headerReference r:id="rId9" w:type="default"/>
      <w:footerReference r:id="rId10" w:type="default"/>
      <w:pgSz w:h="16838" w:w="11906"/>
      <w:pgMar w:bottom="1134" w:footer="720" w:gutter="0" w:header="720" w:left="1361" w:right="1361" w:top="1247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eastAsia="黑体"/>
        <w:sz w:val="18"/>
      </w:rPr>
      <w:t xml:space="preserve">第 </w:t>
    </w:r>
    <w:r>
      <w:rPr>
        <w:rFonts w:eastAsia="黑体"/>
        <w:sz w:val="18"/>
      </w:rPr>
      <w:fldChar w:fldCharType="begin"/>
      <w:instrText xml:space="preserve">PAGE</w:instrText>
      <w:fldChar w:fldCharType="end"/>
    </w:r>
    <w:r>
      <w:rPr>
        <w:rFonts w:eastAsia="黑体"/>
        <w:sz w:val="18"/>
      </w:rPr>
      <w:t xml:space="preserve"> 页</w:t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rPr>
          <w:rFonts w:eastAsia="黑体"/>
        </w:rPr>
        <w:continuationSeparator/>
      </w:r>
    </w:p>
  </w:footnote>
  <w:footnote w:type="separator" w:id="-1">
    <w:p>
      <w:r>
        <w:rPr>
          <w:rFonts w:eastAsia="黑体"/>
        </w:rPr>
        <w:separator/>
      </w:r>
    </w:p>
  </w:footnote>
</w:footnotes>
</file>

<file path=word/header1.xml><?xml version="1.0" encoding="utf-8"?>
<w:hdr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center"/>
    </w:pPr>
    <w:r>
      <w:rPr>
        <w:rFonts w:ascii="Times New Roman" w:hAnsi="Times New Roman" w:eastAsia="黑体"/>
        <w:sz w:val="18"/>
        <w:rFonts w:eastAsia="黑体"/>
        <w:rFonts w:eastAsia="黑体"/>
      </w:rPr>
      <w:t>压控晶振VCXO</w:t>
    </w:r>
  </w:p>
</w:hdr>
</file>

<file path=word/numbering.xml><?xml version="1.0" encoding="utf-8"?>
<w:numbering xmlns:mc="http://schemas.openxmlformats.org/markup-compatibility/2006" xmlns:w="http://schemas.openxmlformats.org/wordprocessingml/2006/main" xmlns:m="http://schemas.openxmlformats.org/officeDocument/2006/math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 w:eastAsia="黑体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 w:eastAsia="黑体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 w:eastAsia="黑体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 w:eastAsia="黑体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 w:eastAsia="黑体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 w:eastAsia="黑体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 w:eastAsia="黑体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 w:eastAsia="黑体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 w:eastAsia="黑体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 w:eastAsia="黑体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 w:eastAsia="黑体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 w:eastAsia="黑体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 w:eastAsia="黑体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w="http://schemas.openxmlformats.org/wordprocessingml/2006/main" xmlns:r="http://schemas.openxmlformats.org/officeDocument/2006/relationships" xmlns:w14="http://schemas.microsoft.com/office/word/2010/wordml" mc:Ignorable="w14">
  <w:docDefaults>
    <w:rPrDefault>
      <w:rPr>
        <w:rFonts w:asciiTheme="minorHAnsi" w:cstheme="minorBidi" w:hAnsiTheme="minorHAnsi" w:eastAsia="黑体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80" w:line="300" w:lineRule="auto"/>
    </w:pPr>
    <w:rPr>
      <w:rFonts w:ascii="Times New Roman" w:eastAsia="黑体" w:hAnsi="Times New Roman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60" w:before="280"/>
      <w:outlineLvl w:val="0"/>
    </w:pPr>
    <w:rPr>
      <w:rFonts w:ascii="Times New Roman" w:asciiTheme="majorHAnsi" w:cstheme="majorBidi" w:eastAsia="黑体" w:hAnsi="Times New Roman" w:hAnsiTheme="majorHAnsi"/>
      <w:b/>
      <w:bCs/>
      <w:color w:val="1F3864"/>
      <w:sz w:val="32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20" w:before="240"/>
      <w:outlineLvl w:val="1"/>
    </w:pPr>
    <w:rPr>
      <w:rFonts w:ascii="Times New Roman" w:asciiTheme="majorHAnsi" w:cstheme="majorBidi" w:eastAsia="黑体" w:hAnsi="Times New Roman" w:hAnsiTheme="majorHAnsi"/>
      <w:b/>
      <w:bCs/>
      <w:color w:val="2E4E7E"/>
      <w:sz w:val="28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20" w:before="200"/>
      <w:outlineLvl w:val="2"/>
    </w:pPr>
    <w:rPr>
      <w:rFonts w:ascii="Times New Roman" w:asciiTheme="majorHAnsi" w:cstheme="majorBidi" w:eastAsia="黑体" w:hAnsi="Times New Roman" w:hAnsiTheme="majorHAnsi"/>
      <w:b/>
      <w:bCs/>
      <w:color w:val="2E4E7E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80" w:before="160"/>
      <w:outlineLvl w:val="3"/>
    </w:pPr>
    <w:rPr>
      <w:rFonts w:ascii="Times New Roman" w:asciiTheme="majorHAnsi" w:cstheme="majorBidi" w:eastAsia="黑体" w:hAnsi="Times New Roman" w:hAnsiTheme="majorHAnsi"/>
      <w:b/>
      <w:bCs/>
      <w:i/>
      <w:iCs/>
      <w:color w:val="333333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60" w:before="120"/>
      <w:outlineLvl w:val="4"/>
    </w:pPr>
    <w:rPr>
      <w:rFonts w:ascii="Times New Roman" w:asciiTheme="majorHAnsi" w:cstheme="majorBidi" w:eastAsia="黑体" w:hAnsi="Times New Roman" w:hAnsiTheme="majorHAnsi"/>
      <w:b/>
      <w:color w:val="333333"/>
      <w:sz w:val="22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hAnsiTheme="majorHAnsi" w:eastAsia="黑体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hAnsiTheme="majorHAnsi" w:eastAsia="黑体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hAnsiTheme="majorHAnsi" w:eastAsia="黑体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hAnsiTheme="majorHAnsi" w:eastAsia="黑体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hAnsiTheme="majorHAnsi" w:eastAsia="黑体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hAnsiTheme="majorHAnsi" w:eastAsia="黑体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keepNext/>
      <w:pBdr>
        <w:bottom w:color="4F81BD" w:space="4" w:sz="8" w:themeColor="accent1" w:val="single"/>
      </w:pBdr>
      <w:spacing w:after="160" w:before="280" w:line="240" w:lineRule="auto"/>
      <w:contextualSpacing/>
    </w:pPr>
    <w:rPr>
      <w:rFonts w:ascii="Times New Roman" w:asciiTheme="majorHAnsi" w:cstheme="majorBidi" w:eastAsia="黑体" w:hAnsi="Times New Roman" w:hAnsiTheme="majorHAnsi"/>
      <w:b/>
      <w:color w:val="1F3864"/>
      <w:spacing w:val="5"/>
      <w:kern w:val="28"/>
      <w:sz w:val="44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hAnsiTheme="majorHAnsi" w:eastAsia="黑体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hAnsiTheme="majorHAnsi" w:eastAsia="黑体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rFonts w:eastAsia="黑体"/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rFonts w:eastAsia="黑体"/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 w:eastAsia="黑体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 w:eastAsia="黑体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pPr>
      <w:pBdr>
        <w:left w:color="2E4E7E" w:space="6" w:sz="12" w:val="single"/>
      </w:pBdr>
      <w:shd w:fill="F2F7FD" w:val="clear"/>
      <w:spacing w:after="40" w:before="40"/>
      <w:ind w:left="170" w:right="170"/>
    </w:pPr>
    <w:rPr>
      <w:rFonts w:ascii="Times New Roman" w:eastAsia="黑体" w:hAnsi="Times New Roman"/>
      <w:i/>
      <w:iCs/>
      <w:color w:themeColor="text1" w:val="000000"/>
      <w:sz w:val="21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rFonts w:eastAsia="黑体"/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hAnsiTheme="majorHAnsi" w:eastAsia="黑体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hAnsiTheme="majorHAnsi" w:eastAsia="黑体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hAnsiTheme="majorHAnsi" w:eastAsia="黑体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hAnsiTheme="majorHAnsi" w:eastAsia="黑体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hAnsiTheme="majorHAnsi" w:eastAsia="黑体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rFonts w:eastAsia="黑体"/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rFonts w:eastAsia="黑体"/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rFonts w:eastAsia="黑体"/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rFonts w:eastAsia="黑体"/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rFonts w:eastAsia="黑体"/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rFonts w:eastAsia="黑体"/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rFonts w:eastAsia="黑体"/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rFonts w:eastAsia="黑体"/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rFonts w:eastAsia="黑体"/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rFonts w:eastAsia="黑体"/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rFonts w:eastAsia="黑体"/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rFonts w:eastAsia="黑体"/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rFonts w:eastAsia="黑体"/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rFonts w:eastAsia="黑体"/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rFonts w:eastAsia="黑体"/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rFonts w:eastAsia="黑体"/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rFonts w:eastAsia="黑体"/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hAnsiTheme="majorHAnsi" w:eastAsia="黑体"/>
        <w:b/>
        <w:bCs/>
      </w:rPr>
    </w:tblStylePr>
    <w:tblStylePr w:type="lastCol">
      <w:rPr>
        <w:rFonts w:asciiTheme="majorHAnsi" w:cstheme="majorBidi" w:hAnsiTheme="majorHAnsi" w:eastAsia="黑体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eastAsia="黑体"/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rFonts w:eastAsia="黑体"/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rFonts w:eastAsia="黑体"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hAnsiTheme="majorHAnsi" w:eastAsia="黑体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rFonts w:eastAsia="黑体"/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eastAsia="黑体"/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</w:rPr>
    </w:tblStylePr>
    <w:tblStylePr w:type="lastRow">
      <w:rPr>
        <w:rFonts w:eastAsia="黑体"/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hAnsiTheme="majorHAnsi"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rFonts w:eastAsia="黑体"/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rFonts w:eastAsia="黑体"/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rFonts w:eastAsia="黑体"/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rFonts w:eastAsia="黑体"/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rFonts w:eastAsia="黑体"/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rFonts w:eastAsia="黑体"/>
        <w:color w:themeColor="text1" w:val="000000"/>
      </w:rPr>
    </w:tblStylePr>
    <w:tblStylePr w:type="nwCell">
      <w:rPr>
        <w:rFonts w:eastAsia="黑体"/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rFonts w:eastAsia="黑体"/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rFonts w:eastAsia="黑体"/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rFonts w:eastAsia="黑体"/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rFonts w:eastAsia="黑体"/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rFonts w:eastAsia="黑体"/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rFonts w:eastAsia="黑体"/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rFonts w:eastAsia="黑体"/>
        <w:b/>
        <w:bCs/>
      </w:rPr>
    </w:tblStylePr>
    <w:tblStylePr w:type="lastCol">
      <w:rPr>
        <w:rFonts w:eastAsia="黑体"/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rFonts w:eastAsia="黑体"/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rFonts w:eastAsia="黑体"/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rFonts w:eastAsia="黑体"/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rFonts w:eastAsia="黑体"/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rFonts w:eastAsia="黑体"/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rFonts w:eastAsia="黑体"/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rFonts w:eastAsia="黑体"/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rFonts w:eastAsia="黑体"/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rFonts w:eastAsia="黑体"/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rFonts w:eastAsia="黑体"/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rFonts w:eastAsia="黑体"/>
      <w:b/>
      <w:color w:val="007020"/>
    </w:rPr>
  </w:style>
  <w:style w:type="character" w:customStyle="1" w:styleId="DataTypeTok">
    <w:name w:val="DataTypeTok"/>
    <w:basedOn w:val="VerbatimChar"/>
    <w:rPr>
      <w:rFonts w:eastAsia="黑体"/>
      <w:color w:val="902000"/>
    </w:rPr>
  </w:style>
  <w:style w:type="character" w:customStyle="1" w:styleId="DecValTok">
    <w:name w:val="DecValTok"/>
    <w:basedOn w:val="VerbatimChar"/>
    <w:rPr>
      <w:rFonts w:eastAsia="黑体"/>
      <w:color w:val="40a070"/>
    </w:rPr>
  </w:style>
  <w:style w:type="character" w:customStyle="1" w:styleId="BaseNTok">
    <w:name w:val="BaseNTok"/>
    <w:basedOn w:val="VerbatimChar"/>
    <w:rPr>
      <w:rFonts w:eastAsia="黑体"/>
      <w:color w:val="40a070"/>
    </w:rPr>
  </w:style>
  <w:style w:type="character" w:customStyle="1" w:styleId="FloatTok">
    <w:name w:val="FloatTok"/>
    <w:basedOn w:val="VerbatimChar"/>
    <w:rPr>
      <w:rFonts w:eastAsia="黑体"/>
      <w:color w:val="40a070"/>
    </w:rPr>
  </w:style>
  <w:style w:type="character" w:customStyle="1" w:styleId="ConstantTok">
    <w:name w:val="ConstantTok"/>
    <w:basedOn w:val="VerbatimChar"/>
    <w:rPr>
      <w:rFonts w:eastAsia="黑体"/>
      <w:color w:val="880000"/>
    </w:rPr>
  </w:style>
  <w:style w:type="character" w:customStyle="1" w:styleId="CharTok">
    <w:name w:val="CharTok"/>
    <w:basedOn w:val="VerbatimChar"/>
    <w:rPr>
      <w:rFonts w:eastAsia="黑体"/>
      <w:color w:val="4070a0"/>
    </w:rPr>
  </w:style>
  <w:style w:type="character" w:customStyle="1" w:styleId="SpecialCharTok">
    <w:name w:val="SpecialCharTok"/>
    <w:basedOn w:val="VerbatimChar"/>
    <w:rPr>
      <w:rFonts w:eastAsia="黑体"/>
      <w:color w:val="4070a0"/>
    </w:rPr>
  </w:style>
  <w:style w:type="character" w:customStyle="1" w:styleId="StringTok">
    <w:name w:val="StringTok"/>
    <w:basedOn w:val="VerbatimChar"/>
    <w:rPr>
      <w:rFonts w:eastAsia="黑体"/>
      <w:color w:val="4070a0"/>
    </w:rPr>
  </w:style>
  <w:style w:type="character" w:customStyle="1" w:styleId="VerbatimStringTok">
    <w:name w:val="VerbatimStringTok"/>
    <w:basedOn w:val="VerbatimChar"/>
    <w:rPr>
      <w:rFonts w:eastAsia="黑体"/>
      <w:color w:val="4070a0"/>
    </w:rPr>
  </w:style>
  <w:style w:type="character" w:customStyle="1" w:styleId="SpecialStringTok">
    <w:name w:val="SpecialStringTok"/>
    <w:basedOn w:val="VerbatimChar"/>
    <w:rPr>
      <w:rFonts w:eastAsia="黑体"/>
      <w:color w:val="bb6688"/>
    </w:rPr>
  </w:style>
  <w:style w:type="character" w:customStyle="1" w:styleId="ImportTok">
    <w:name w:val="ImportTok"/>
    <w:basedOn w:val="VerbatimChar"/>
    <w:rPr>
      <w:rFonts w:eastAsia="黑体"/>
      <w:b/>
      <w:color w:val="008000"/>
    </w:rPr>
  </w:style>
  <w:style w:type="character" w:customStyle="1" w:styleId="CommentTok">
    <w:name w:val="CommentTok"/>
    <w:basedOn w:val="VerbatimChar"/>
    <w:rPr>
      <w:rFonts w:eastAsia="黑体"/>
      <w:i/>
      <w:color w:val="60a0b0"/>
    </w:rPr>
  </w:style>
  <w:style w:type="character" w:customStyle="1" w:styleId="DocumentationTok">
    <w:name w:val="DocumentationTok"/>
    <w:basedOn w:val="VerbatimChar"/>
    <w:rPr>
      <w:rFonts w:eastAsia="黑体"/>
      <w:i/>
      <w:color w:val="ba2121"/>
    </w:rPr>
  </w:style>
  <w:style w:type="character" w:customStyle="1" w:styleId="AnnotationTok">
    <w:name w:val="AnnotationTok"/>
    <w:basedOn w:val="VerbatimChar"/>
    <w:rPr>
      <w:rFonts w:eastAsia="黑体"/>
      <w:b/>
      <w:i/>
      <w:color w:val="60a0b0"/>
    </w:rPr>
  </w:style>
  <w:style w:type="character" w:customStyle="1" w:styleId="CommentVarTok">
    <w:name w:val="CommentVarTok"/>
    <w:basedOn w:val="VerbatimChar"/>
    <w:rPr>
      <w:rFonts w:eastAsia="黑体"/>
      <w:b/>
      <w:i/>
      <w:color w:val="60a0b0"/>
    </w:rPr>
  </w:style>
  <w:style w:type="character" w:customStyle="1" w:styleId="OtherTok">
    <w:name w:val="OtherTok"/>
    <w:basedOn w:val="VerbatimChar"/>
    <w:rPr>
      <w:rFonts w:eastAsia="黑体"/>
      <w:color w:val="007020"/>
    </w:rPr>
  </w:style>
  <w:style w:type="character" w:customStyle="1" w:styleId="FunctionTok">
    <w:name w:val="FunctionTok"/>
    <w:basedOn w:val="VerbatimChar"/>
    <w:rPr>
      <w:rFonts w:eastAsia="黑体"/>
      <w:color w:val="06287e"/>
    </w:rPr>
  </w:style>
  <w:style w:type="character" w:customStyle="1" w:styleId="VariableTok">
    <w:name w:val="VariableTok"/>
    <w:basedOn w:val="VerbatimChar"/>
    <w:rPr>
      <w:rFonts w:eastAsia="黑体"/>
      <w:color w:val="19177c"/>
    </w:rPr>
  </w:style>
  <w:style w:type="character" w:customStyle="1" w:styleId="ControlFlowTok">
    <w:name w:val="ControlFlowTok"/>
    <w:basedOn w:val="VerbatimChar"/>
    <w:rPr>
      <w:rFonts w:eastAsia="黑体"/>
      <w:b/>
      <w:color w:val="007020"/>
    </w:rPr>
  </w:style>
  <w:style w:type="character" w:customStyle="1" w:styleId="OperatorTok">
    <w:name w:val="OperatorTok"/>
    <w:basedOn w:val="VerbatimChar"/>
    <w:rPr>
      <w:rFonts w:eastAsia="黑体"/>
      <w:color w:val="666666"/>
    </w:rPr>
  </w:style>
  <w:style w:type="character" w:customStyle="1" w:styleId="BuiltInTok">
    <w:name w:val="BuiltInTok"/>
    <w:basedOn w:val="VerbatimChar"/>
    <w:rPr>
      <w:rFonts w:eastAsia="黑体"/>
      <w:color w:val="008000"/>
    </w:rPr>
  </w:style>
  <w:style w:type="character" w:customStyle="1" w:styleId="ExtensionTok">
    <w:name w:val="ExtensionTok"/>
    <w:basedOn w:val="VerbatimChar"/>
    <w:rPr>
      <w:rFonts w:eastAsia="黑体"/>
    </w:rPr>
  </w:style>
  <w:style w:type="character" w:customStyle="1" w:styleId="PreprocessorTok">
    <w:name w:val="PreprocessorTok"/>
    <w:basedOn w:val="VerbatimChar"/>
    <w:rPr>
      <w:rFonts w:eastAsia="黑体"/>
      <w:color w:val="bc7a00"/>
    </w:rPr>
  </w:style>
  <w:style w:type="character" w:customStyle="1" w:styleId="AttributeTok">
    <w:name w:val="AttributeTok"/>
    <w:basedOn w:val="VerbatimChar"/>
    <w:rPr>
      <w:rFonts w:eastAsia="黑体"/>
      <w:color w:val="7d9029"/>
    </w:rPr>
  </w:style>
  <w:style w:type="character" w:customStyle="1" w:styleId="RegionMarkerTok">
    <w:name w:val="RegionMarkerTok"/>
    <w:basedOn w:val="VerbatimChar"/>
    <w:rPr>
      <w:rFonts w:eastAsia="黑体"/>
    </w:rPr>
  </w:style>
  <w:style w:type="character" w:customStyle="1" w:styleId="InformationTok">
    <w:name w:val="InformationTok"/>
    <w:basedOn w:val="VerbatimChar"/>
    <w:rPr>
      <w:rFonts w:eastAsia="黑体"/>
      <w:b/>
      <w:i/>
      <w:color w:val="60a0b0"/>
    </w:rPr>
  </w:style>
  <w:style w:type="character" w:customStyle="1" w:styleId="WarningTok">
    <w:name w:val="WarningTok"/>
    <w:basedOn w:val="VerbatimChar"/>
    <w:rPr>
      <w:rFonts w:eastAsia="黑体"/>
      <w:b/>
      <w:i/>
      <w:color w:val="60a0b0"/>
    </w:rPr>
  </w:style>
  <w:style w:type="character" w:customStyle="1" w:styleId="AlertTok">
    <w:name w:val="AlertTok"/>
    <w:basedOn w:val="VerbatimChar"/>
    <w:rPr>
      <w:rFonts w:eastAsia="黑体"/>
      <w:b/>
      <w:color w:val="ff0000"/>
    </w:rPr>
  </w:style>
  <w:style w:type="character" w:customStyle="1" w:styleId="ErrorTok">
    <w:name w:val="ErrorTok"/>
    <w:basedOn w:val="VerbatimChar"/>
    <w:rPr>
      <w:rFonts w:eastAsia="黑体"/>
      <w:b/>
      <w:color w:val="ff0000"/>
    </w:rPr>
  </w:style>
  <w:style w:type="character" w:customStyle="1" w:styleId="NormalTok">
    <w:name w:val="NormalTok"/>
    <w:basedOn w:val="VerbatimChar"/>
    <w:rPr>
      <w:rFonts w:eastAsia="黑体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8" Type="http://schemas.openxmlformats.org/officeDocument/2006/relationships/numbering" Target="numbering.xml"/><Relationship Id="rId17" Type="http://schemas.openxmlformats.org/officeDocument/2006/relationships/styles" Target="styles.xml"/><Relationship Id="rId16" Type="http://schemas.openxmlformats.org/officeDocument/2006/relationships/settings" Target="settings.xml"/><Relationship Id="rId15" Type="http://schemas.openxmlformats.org/officeDocument/2006/relationships/webSettings" Target="webSettings.xml"/><Relationship Id="rId14" Type="http://schemas.openxmlformats.org/officeDocument/2006/relationships/fontTable" Target="fontTable.xml"/><Relationship Id="rId13" Type="http://schemas.openxmlformats.org/officeDocument/2006/relationships/theme" Target="theme/theme1.xml"/><Relationship Id="rId12" Type="http://schemas.openxmlformats.org/officeDocument/2006/relationships/footnotes" Target="footnotes.xml"/><Relationship Id="rId11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黑体"/>
        <a:cs typeface=""/>
        <a:font script="Jpan" typeface="ＭＳ ゴシック"/>
        <a:font script="Hang" typeface="맑은 고딕"/>
        <a:font script="Hans" typeface="黑体"/>
        <a:font script="Hant" typeface="黑体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黑体"/>
        <a:cs typeface=""/>
        <a:font script="Jpan" typeface="ＭＳ 明朝"/>
        <a:font script="Hang" typeface="맑은 고딕"/>
        <a:font script="Hans" typeface="黑体"/>
        <a:font script="Hant" typeface="黑体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压控晶振VCXO</dc:title>
  <dc:creator>AI 智能体</dc:creator>
  <cp:keywords/>
  <dcterms:created xsi:type="dcterms:W3CDTF">2026-09-08T14:37:12Z</dcterms:created>
  <dcterms:modified xsi:type="dcterms:W3CDTF">2026-09-08T14:37:12Z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