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有源高通滤波电路"/>
    <w:p>
      <w:pPr>
        <w:pStyle w:val="Heading1"/>
      </w:pPr>
      <w:r>
        <w:rPr>
          <w:rFonts w:hint="eastAsia" w:eastAsia="黑体"/>
        </w:rPr>
        <w:t xml:space="preserve">有源高通滤波电路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一个运算放大器</w:t>
      </w:r>
      <w:r>
        <w:rPr>
          <w:rFonts w:eastAsia="黑体"/>
          <w:b/>
          <w:bCs/>
        </w:rPr>
        <w:t xml:space="preserve"> A1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耦合（滤波）电容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电阻</w:t>
      </w:r>
      <w:r>
        <w:rPr>
          <w:rFonts w:eastAsia="黑体"/>
          <w:b/>
          <w:bCs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增益设定电阻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组成的一阶有源高通滤波器（同相、带增益</w:t>
      </w:r>
      <w:r>
        <w:rPr>
          <w:rFonts w:eastAsia="黑体"/>
        </w:rPr>
        <w:t xml:space="preserve"> </w:t>
      </w:r>
      <m:oMath>
        <m:r>
          <m:t>K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形式）。电路共有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（信号源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正端与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中间节点</w:t>
      </w:r>
      <w:r>
        <w:rPr>
          <w:rFonts w:hint="eastAsia" w:eastAsia="黑体"/>
        </w:rPr>
        <w:t xml:space="preserve">（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一端与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的同相输入端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反相输入端节点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的反相输入端</w:t>
      </w:r>
      <w:r>
        <w:rPr>
          <w:rFonts w:eastAsia="黑体"/>
        </w:rPr>
        <w:t xml:space="preserve"> IN−、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的输出端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另一端相连，作为输出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）；另有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另一端接地）。</w:t>
      </w:r>
    </w:p>
    <w:p>
      <w:pPr/>
      <w:r>
        <w:rPr>
          <w:rFonts w:hint="eastAsia" w:eastAsia="黑体"/>
        </w:rPr>
        <w:t xml:space="preserve">各元件管脚连接：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一端接输入节点、另一端接中间节点；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一端接中间节点、另一端接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一端接输出节点、另一端接反相输入端节点；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一端接反相输入端节点、另一端接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接中间节点、IN−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接反相输入端节点、OUT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接输出节点、正电源脚</w:t>
      </w:r>
      <w:r>
        <w:rPr>
          <w:rFonts w:eastAsia="黑体"/>
        </w:rPr>
        <w:t xml:space="preserve"> V+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+VCC、负电源脚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−VEE。</w:t>
      </w:r>
    </w:p>
    <w:p>
      <w:pPr/>
      <w:r>
        <w:rPr>
          <w:rFonts w:hint="eastAsia" w:eastAsia="黑体"/>
        </w:rPr>
        <w:t xml:space="preserve">由此构成”输入经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到同相端、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接同相端到地、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设定增益”的一阶有源高通组态，通带增益</w:t>
      </w:r>
      <w:r>
        <w:rPr>
          <w:rFonts w:eastAsia="黑体"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hint="eastAsia" w:eastAsia="黑体"/>
        </w:rPr>
        <w:t xml:space="preserve">，截止频率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π</m:t>
        </m:r>
        <m:r>
          <m:t>R</m:t>
        </m:r>
        <m:r>
          <m:t>C</m:t>
        </m:r>
        <m:r>
          <m:rPr>
            <m:sty m:val="p"/>
          </m:rPr>
          <m:t>)</m:t>
        </m:r>
      </m:oMath>
      <w:r>
        <w:rPr>
          <w:rFonts w:hint="eastAsia" w:eastAsia="黑体"/>
        </w:rPr>
        <w:t xml:space="preserve">，并阻断直流、为后级提供低阻驱动；更高阶可由</w:t>
      </w:r>
      <w:r>
        <w:rPr>
          <w:rFonts w:eastAsia="黑体"/>
        </w:rPr>
        <w:t xml:space="preserve"> Sallen-Key </w:t>
      </w:r>
      <w:r>
        <w:rPr>
          <w:rFonts w:hint="eastAsia" w:eastAsia="黑体"/>
        </w:rPr>
        <w:t xml:space="preserve">或多重反馈（MFB）结构实现。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eastAsia="黑体"/>
        </w:rPr>
        <w:t xml:space="preserve">RC </w:t>
      </w:r>
      <w:r>
        <w:rPr>
          <w:rFonts w:hint="eastAsia" w:eastAsia="黑体"/>
        </w:rPr>
        <w:t xml:space="preserve">高通网络在低频衰减信号，运放放大量级并驱动后级。输入经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微分/耦合后由运放输出，通带（高频）内维持设定增益，阻带（低频）以</w:t>
      </w:r>
      <w:r>
        <w:rPr>
          <w:rFonts w:eastAsia="黑体"/>
        </w:rPr>
        <w:t xml:space="preserve"> -20N </w:t>
      </w:r>
      <w:r>
        <w:rPr>
          <w:rFonts w:hint="eastAsia" w:eastAsia="黑体"/>
        </w:rPr>
        <w:t xml:space="preserve">dB/十倍频下降。</w:t>
      </w:r>
    </w:p>
    <w:bookmarkEnd w:id="20"/>
    <w:bookmarkStart w:id="23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bookmarkStart w:id="21" w:name="一阶有源高通同相带增益-k"/>
    <w:p>
      <w:pPr>
        <w:pStyle w:val="Heading3"/>
      </w:pPr>
      <w:r>
        <w:rPr>
          <w:rFonts w:hint="eastAsia" w:eastAsia="黑体"/>
        </w:rPr>
        <w:t xml:space="preserve">一阶有源高通（同相，带增益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K）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截止频率：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传递函数：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t> </m:t>
              </m:r>
              <m:r>
                <m:t>s</m:t>
              </m:r>
              <m:r>
                <m:t>R</m:t>
              </m:r>
              <m:r>
                <m:t>C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R</m:t>
              </m:r>
              <m:r>
                <m:t>C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den>
          </m:f>
        </m:oMath>
      </m:oMathPara>
    </w:p>
    <w:bookmarkEnd w:id="21"/>
    <w:bookmarkStart w:id="22" w:name="二阶-sallen-key"/>
    <w:p>
      <w:pPr>
        <w:pStyle w:val="Heading3"/>
      </w:pPr>
      <w:r>
        <w:rPr>
          <w:rFonts w:hint="eastAsia" w:eastAsia="黑体"/>
        </w:rPr>
        <w:t xml:space="preserve">二阶</w:t>
      </w:r>
      <w:r>
        <w:rPr>
          <w:rFonts w:eastAsia="黑体"/>
        </w:rPr>
        <w:t xml:space="preserve"> Sallen-Key</w:t>
      </w:r>
    </w:p>
    <w:p>
      <w:pPr>
        <w:numPr>
          <w:ilvl w:val="0"/>
          <w:numId w:val="1002"/>
        </w:numPr>
      </w:pPr>
      <w:r>
        <w:rPr>
          <w:rFonts w:hint="eastAsia" w:eastAsia="黑体"/>
        </w:rPr>
        <w:t xml:space="preserve">截止频率：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</m:oMath>
      </m:oMathPara>
    </w:p>
    <w:p>
      <w:pPr>
        <w:numPr>
          <w:ilvl w:val="0"/>
          <w:numId w:val="1002"/>
        </w:numPr>
      </w:pPr>
      <w:r>
        <w:rPr>
          <w:rFonts w:hint="eastAsia" w:eastAsia="黑体"/>
        </w:rPr>
        <w:t xml:space="preserve">品质因数（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  <m:r>
                <m:rPr>
                  <m:sty m:val="p"/>
                </m:rPr>
                <m:t>−</m:t>
              </m:r>
              <m:r>
                <m:t>K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阻容网络电阻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阻容网络电容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增益设定电阻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通带增益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截止频率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</w:tbl>
    <w:bookmarkEnd w:id="22"/>
    <w:bookmarkEnd w:id="23"/>
    <w:bookmarkStart w:id="24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  <w:b/>
          <w:bCs/>
        </w:rPr>
        <w:t xml:space="preserve">R、C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降低。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增益</w:t>
      </w:r>
      <w:r>
        <w:rPr>
          <w:rFonts w:eastAsia="黑体"/>
          <w:b/>
          <w:bCs/>
        </w:rPr>
        <w:t xml:space="preserve"> K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Q </w:t>
      </w:r>
      <w:r>
        <w:rPr>
          <w:rFonts w:hint="eastAsia" w:eastAsia="黑体"/>
        </w:rPr>
        <w:t xml:space="preserve">升高，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处出现峰值（Sallen-Key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中</w:t>
      </w:r>
      <w:r>
        <w:rPr>
          <w:rFonts w:eastAsia="黑体"/>
        </w:rPr>
        <w:t xml:space="preserve"> </w:t>
      </w:r>
      <m:oMath>
        <m:r>
          <m:t>K</m:t>
        </m:r>
        <m:r>
          <m:rPr>
            <m:sty m:val="p"/>
          </m:rPr>
          <m:t>→</m:t>
        </m:r>
        <m:r>
          <m:t>3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时趋于自激）。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通带增益升高但</w:t>
      </w:r>
      <w:r>
        <w:rPr>
          <w:rFonts w:eastAsia="黑体"/>
        </w:rPr>
        <w:t xml:space="preserve"> Q </w:t>
      </w:r>
      <w:r>
        <w:rPr>
          <w:rFonts w:hint="eastAsia" w:eastAsia="黑体"/>
        </w:rPr>
        <w:t xml:space="preserve">同时升高。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运放增益带宽积不足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高频响应提前下降。</w:t>
      </w:r>
    </w:p>
    <w:bookmarkEnd w:id="24"/>
    <w:bookmarkStart w:id="25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一阶同相、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eastAsia="黑体"/>
        </w:rPr>
        <w:t xml:space="preserve">、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den>
        </m:f>
        <m:r>
          <m:rPr>
            <m:sty m:val="p"/>
          </m:rPr>
          <m:t>≈</m:t>
        </m:r>
        <m:r>
          <m:t>159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二阶</w:t>
      </w:r>
      <w:r>
        <w:rPr>
          <w:rFonts w:eastAsia="黑体"/>
        </w:rPr>
        <w:t xml:space="preserve"> Sallen-Key、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eastAsia="黑体"/>
        </w:rPr>
        <w:t xml:space="preserve">、</w:t>
      </w:r>
      <m:oMath>
        <m:r>
          <m:t>K</m:t>
        </m:r>
        <m:r>
          <m:rPr>
            <m:sty m:val="p"/>
          </m:rPr>
          <m:t>=</m:t>
        </m:r>
        <m:r>
          <m:t>1.586</m:t>
        </m:r>
      </m:oMath>
      <w:r>
        <w:rPr>
          <w:rFonts w:hint="eastAsia" w:eastAsia="黑体"/>
        </w:rPr>
        <w:t xml:space="preserve">：</w:t>
      </w:r>
      <m:oMath>
        <m:r>
          <m:t>Q</m:t>
        </m:r>
        <m:r>
          <m:rPr>
            <m:sty m:val="p"/>
          </m:rPr>
          <m:t>≈</m:t>
        </m:r>
        <m:r>
          <m:t>0.707</m:t>
        </m:r>
      </m:oMath>
      <w:r>
        <w:rPr>
          <w:rFonts w:hint="eastAsia" w:eastAsia="黑体"/>
        </w:rPr>
        <w:t xml:space="preserve">（Butterworth），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≈</m:t>
        </m:r>
        <m:r>
          <m:t>159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eastAsia="黑体"/>
        </w:rPr>
        <w:t xml:space="preserve">。</w:t>
      </w:r>
    </w:p>
    <w:bookmarkEnd w:id="25"/>
    <w:bookmarkStart w:id="26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运放：TL072、LM358、NE5532、OPA2134。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电阻/电容：1%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金属膜电阻、C0G/NP0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电容。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常用：按需选型。</w:t>
      </w:r>
    </w:p>
    <w:bookmarkEnd w:id="26"/>
    <w:bookmarkStart w:id="27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有源结构需供电，功耗高于无源</w:t>
      </w:r>
      <w:r>
        <w:rPr>
          <w:rFonts w:eastAsia="黑体"/>
        </w:rPr>
        <w:t xml:space="preserve"> RC。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高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Q、高增益对元件容差敏感。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运放带宽需远高于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。</w:t>
      </w:r>
    </w:p>
    <w:bookmarkEnd w:id="27"/>
    <w:bookmarkStart w:id="28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7"/>
        </w:numPr>
      </w:pPr>
      <w:r>
        <w:rPr>
          <w:rFonts w:eastAsia="黑体"/>
        </w:rPr>
        <w:t xml:space="preserve">Wikipedia: Sallen–Key topology。</w:t>
      </w:r>
    </w:p>
    <w:p>
      <w:pPr>
        <w:pStyle w:val="Compact"/>
        <w:numPr>
          <w:ilvl w:val="0"/>
          <w:numId w:val="1007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SLOA049。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黑体"/>
        </w:rPr>
        <w:t xml:space="preserve">《模拟电子技术基础》（童诗白、华成英）。</w:t>
      </w:r>
    </w:p>
    <w:bookmarkEnd w:id="28"/>
    <w:bookmarkEnd w:id="29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有源高通滤波电路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有源高通滤波电路</dc:title>
  <dc:creator>AI 智能体</dc:creator>
  <cp:keywords/>
  <dcterms:created xsi:type="dcterms:W3CDTF">2026-09-08T14:37:13Z</dcterms:created>
  <dcterms:modified xsi:type="dcterms:W3CDTF">2026-09-08T14:37:13Z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