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高阶高通滤波电路"/>
    <w:p>
      <w:pPr>
        <w:pStyle w:val="Heading1"/>
      </w:pPr>
      <w:r>
        <w:rPr>
          <w:rFonts w:hint="eastAsia" w:eastAsia="黑体"/>
        </w:rPr>
        <w:t xml:space="preserve">高阶高通滤波电路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多个一阶/二阶高通节级联</w:t>
      </w:r>
      <w:r>
        <w:rPr>
          <w:rFonts w:hint="eastAsia" w:eastAsia="黑体"/>
        </w:rPr>
        <w:t xml:space="preserve">（每节含运算放大器与阻容网络，或为含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、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梯形节）组成的高阶滤波器，阶数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rFonts w:hint="eastAsia" w:eastAsia="黑体"/>
        </w:rPr>
        <w:t xml:space="preserve">（各节分别贡献一个或两个极点）。电路按串联链式布置节点：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正端与第一节输入端相连）；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第一节输出/第二节输入节点</w:t>
      </w:r>
      <w:r>
        <w:rPr>
          <w:rFonts w:hint="eastAsia" w:eastAsia="黑体"/>
        </w:rPr>
        <w:t xml:space="preserve">（第一节输出端与第二节输入端相接）；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第二节输出/第三节输入节点</w:t>
      </w:r>
      <w:r>
        <w:rPr>
          <w:rFonts w:hint="eastAsia" w:eastAsia="黑体"/>
        </w:rPr>
        <w:t xml:space="preserve">（第二节输出端与第三节输入端相接）；依此类推，直至末级，</w:t>
      </w:r>
      <w:r>
        <w:rPr>
          <w:rFonts w:hint="eastAsia" w:eastAsia="黑体"/>
          <w:b/>
          <w:bCs/>
        </w:rPr>
        <w:t xml:space="preserve">节点</w:t>
      </w:r>
      <m:oMath>
        <m:sSub>
          <m:e>
            <m:r>
              <m:t>​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（末节输出端作为总输出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为节数）；各节内部另有各自独立的中间节点、反相/同相输入端节点与地节点。</w:t>
      </w:r>
    </w:p>
    <w:p>
      <w:pPr/>
      <w:r>
        <w:rPr>
          <w:rFonts w:hint="eastAsia" w:eastAsia="黑体"/>
        </w:rPr>
        <w:t xml:space="preserve">各元件管脚连接：第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个高通节的输入端接其前一级的输出端（首节的输入端接输入节点），其输出端接后一级的输入端（末节的输出端接输出节点）；每节内部的运放按</w:t>
      </w:r>
      <w:r>
        <w:rPr>
          <w:rFonts w:eastAsia="黑体"/>
        </w:rPr>
        <w:t xml:space="preserve"> IN+/IN−/OUT </w:t>
      </w:r>
      <w:r>
        <w:rPr>
          <w:rFonts w:hint="eastAsia" w:eastAsia="黑体"/>
        </w:rPr>
        <w:t xml:space="preserve">与该节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、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相连，LC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梯形节则按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、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串并联接入该节自身的地节点与中间节点。</w:t>
      </w:r>
    </w:p>
    <w:p>
      <w:pPr/>
      <w:r>
        <w:rPr>
          <w:rFonts w:hint="eastAsia" w:eastAsia="黑体"/>
        </w:rPr>
        <w:t xml:space="preserve">由此构成”多个高通节顺序级联、逐节累积极点”的高阶高通组态，各级极点按</w:t>
      </w:r>
      <w:r>
        <w:rPr>
          <w:rFonts w:eastAsia="黑体"/>
        </w:rPr>
        <w:t xml:space="preserve"> Butterworth、Chebyshev、Bessel </w:t>
      </w:r>
      <w:r>
        <w:rPr>
          <w:rFonts w:hint="eastAsia" w:eastAsia="黑体"/>
        </w:rPr>
        <w:t xml:space="preserve">等近似分布，低频阻带以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r>
          <m:t>20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dB/十倍频下降，用于需要陡峭低频抑制的场合。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信号依次通过各级高通节，每级在低频阻断信号并引入相移，N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阶滤波器的阻带（低频）衰减斜率为</w:t>
      </w:r>
      <w:r>
        <w:rPr>
          <w:rFonts w:eastAsia="黑体"/>
        </w:rPr>
        <w:t xml:space="preserve"> -20N </w:t>
      </w:r>
      <w:r>
        <w:rPr>
          <w:rFonts w:hint="eastAsia" w:eastAsia="黑体"/>
        </w:rPr>
        <w:t xml:space="preserve">dB/十倍频。极点位置由所选近似函数决定，分别优化通带平坦度或过渡带陡度。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阶</w:t>
      </w:r>
      <w:r>
        <w:rPr>
          <w:rFonts w:eastAsia="黑体"/>
        </w:rPr>
        <w:t xml:space="preserve"> Butterworth </w:t>
      </w:r>
      <w:r>
        <w:rPr>
          <w:rFonts w:hint="eastAsia" w:eastAsia="黑体"/>
        </w:rPr>
        <w:t xml:space="preserve">高通幅频响应：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/</m:t>
              </m:r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ω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c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  <m:r>
                        <m:t>N</m:t>
                      </m:r>
                    </m:sup>
                  </m:sSup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阻带衰减斜率：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斜率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</m:t>
          </m:r>
          <m:r>
            <m:t>N</m:t>
          </m:r>
          <m:r>
            <m:t> </m:t>
          </m:r>
          <m:r>
            <m:rPr>
              <m:nor/>
              <m:sty m:val="p"/>
            </m:rPr>
            <m:t>dB/十倍频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低通→高通频率变换：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f>
            <m:fPr>
              <m:type m:val="bar"/>
            </m:fPr>
            <m:num>
              <m:sSubSup>
                <m:e>
                  <m:r>
                    <m:t>ω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s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级联总传递函数：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滤波器阶数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角频率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截止角频率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各级传递函数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阶数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低频阻带更陡，过渡带更窄，但元件数增加。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各级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按近似函数缩放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决定通带平坦度（Butterworth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各节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不同）。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级联顺序交换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影响噪声与动态范围，高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节宜放后。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单节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偏高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通带边缘出现纹波或过冲。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4 </w:t>
      </w:r>
      <w:r>
        <w:rPr>
          <w:rFonts w:hint="eastAsia" w:eastAsia="黑体"/>
        </w:rPr>
        <w:t xml:space="preserve">阶</w:t>
      </w:r>
      <w:r>
        <w:rPr>
          <w:rFonts w:eastAsia="黑体"/>
        </w:rPr>
        <w:t xml:space="preserve"> Butterworth </w:t>
      </w:r>
      <w:r>
        <w:rPr>
          <w:rFonts w:hint="eastAsia" w:eastAsia="黑体"/>
        </w:rPr>
        <w:t xml:space="preserve">高通、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，在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0.1</m:t>
                </m:r>
              </m:e>
              <m:sup>
                <m:r>
                  <m:t>4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0.1</m:t>
                    </m:r>
                  </m:e>
                  <m:sup>
                    <m:r>
                      <m:t>8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黑体"/>
        </w:rPr>
        <w:t xml:space="preserve">，衰减约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r>
          <m:t>80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2 </w:t>
      </w:r>
      <w:r>
        <w:rPr>
          <w:rFonts w:hint="eastAsia" w:eastAsia="黑体"/>
        </w:rPr>
        <w:t xml:space="preserve">阶在</w:t>
      </w:r>
      <w:r>
        <w:rPr>
          <w:rFonts w:eastAsia="黑体"/>
        </w:rPr>
        <w:t xml:space="preserve"> 10 Hz </w:t>
      </w:r>
      <w:r>
        <w:rPr>
          <w:rFonts w:hint="eastAsia" w:eastAsia="黑体"/>
        </w:rPr>
        <w:t xml:space="preserve">处仅约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r>
          <m:t>40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，高阶陡度显著提高。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运放：TL074、LF347、OPA4134。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集成开关电容滤波器：LTC1064（可配置高通）、MAX294。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高阶无源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高通对元件容差敏感。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级联有源高通需注意各级输入偏置与直流失调放大。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运放增益带宽积需远高于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与最高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频率。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Butterworth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《信号与系统》相关章节。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</w:t>
      </w:r>
      <w:r>
        <w:rPr>
          <w:rFonts w:hint="eastAsia" w:eastAsia="黑体"/>
        </w:rPr>
        <w:t xml:space="preserve">滤波器设计向导。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高阶高通滤波电路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高阶高通滤波电路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