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m="http://schemas.openxmlformats.org/officeDocument/2006/math" xmlns:r="http://schemas.openxmlformats.org/officeDocument/2006/relationships" xmlns:w="http://schemas.openxmlformats.org/wordprocessingml/2006/main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陷波器-notch-电路"/>
    <w:p>
      <w:pPr>
        <w:pStyle w:val="Heading1"/>
      </w:pPr>
      <w:r>
        <w:rPr>
          <w:rFonts w:hint="eastAsia" w:eastAsia="黑体"/>
        </w:rPr>
        <w:t xml:space="preserve">陷波器</w:t>
      </w:r>
      <w:r>
        <w:rPr>
          <w:rFonts w:eastAsia="黑体"/>
        </w:rPr>
        <w:t xml:space="preserve"> Notch </w:t>
      </w:r>
      <w:r>
        <w:rPr>
          <w:rFonts w:hint="eastAsia" w:eastAsia="黑体"/>
        </w:rPr>
        <w:t xml:space="preserve">电路</w:t>
      </w:r>
    </w:p>
    <w:bookmarkStart w:id="19" w:name="拓扑描述"/>
    <w:p>
      <w:pPr>
        <w:pStyle w:val="Heading2"/>
      </w:pPr>
      <w:r>
        <w:rPr>
          <w:rFonts w:hint="eastAsia" w:eastAsia="黑体"/>
        </w:rPr>
        <w:t xml:space="preserve">拓扑描述</w:t>
      </w:r>
    </w:p>
    <w:p>
      <w:pPr>
        <w:pStyle w:val="FirstParagraph"/>
      </w:pPr>
      <w:r>
        <w:rPr>
          <w:rFonts w:hint="eastAsia" w:eastAsia="黑体"/>
        </w:rPr>
        <w:t xml:space="preserve">本电路为专门抑制极窄频带、其余频率基本无衰减通过的带阻（陷波）滤波器，常见实现有双</w:t>
      </w:r>
      <w:r>
        <w:rPr>
          <w:rFonts w:eastAsia="黑体"/>
        </w:rPr>
        <w:t xml:space="preserve"> T </w:t>
      </w:r>
      <w:r>
        <w:rPr>
          <w:rFonts w:hint="eastAsia" w:eastAsia="黑体"/>
        </w:rPr>
        <w:t xml:space="preserve">型（无源或加运放整形）、带通加求和器以及状态变量正交陷波三种，含运放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A、电阻</w:t>
      </w:r>
      <w:r>
        <w:rPr>
          <w:rFonts w:eastAsia="黑体"/>
        </w:rPr>
        <w:t xml:space="preserve"> </w:t>
      </w:r>
      <m:oMath>
        <m:r>
          <m:t>R</m:t>
        </m:r>
      </m:oMath>
      <w:r>
        <w:rPr>
          <w:rFonts w:hint="eastAsia" w:eastAsia="黑体"/>
        </w:rPr>
        <w:t xml:space="preserve">（含分压反馈电阻</w:t>
      </w:r>
      <w:r>
        <w:rPr>
          <w:rFonts w:eastAsia="黑体"/>
        </w:rPr>
        <w:t xml:space="preserve"> </w:t>
      </w:r>
      <m:oMath>
        <m:sSub>
          <m:e>
            <m:r>
              <m:t>R</m:t>
            </m:r>
          </m:e>
          <m:sub>
            <m:r>
              <m:t>a</m:t>
            </m:r>
          </m:sub>
        </m:sSub>
      </m:oMath>
      <w:r>
        <w:rPr>
          <w:rFonts w:eastAsia="黑体"/>
        </w:rPr>
        <w:t xml:space="preserve">、</w:t>
      </w:r>
      <m:oMath>
        <m:sSub>
          <m:e>
            <m:r>
              <m:t>R</m:t>
            </m:r>
          </m:e>
          <m:sub>
            <m:r>
              <m:t>b</m:t>
            </m:r>
          </m:sub>
        </m:sSub>
      </m:oMath>
      <w:r>
        <w:rPr>
          <w:rFonts w:hint="eastAsia" w:eastAsia="黑体"/>
        </w:rPr>
        <w:t xml:space="preserve">）与电容</w:t>
      </w:r>
      <w:r>
        <w:rPr>
          <w:rFonts w:eastAsia="黑体"/>
        </w:rPr>
        <w:t xml:space="preserve"> </w:t>
      </w:r>
      <m:oMath>
        <m:r>
          <m:t>C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等元件。关键节点命名如下：输入节点</w:t>
      </w:r>
      <w:r>
        <w:rPr>
          <w:rFonts w:eastAsia="黑体"/>
        </w:rPr>
        <w:t xml:space="preserve"> </w:t>
      </w:r>
      <m:oMath>
        <m:sSub>
          <m:e>
            <m:r>
              <m:t>N</m:t>
            </m:r>
          </m:e>
          <m:sub>
            <m:r>
              <m:t>i</m:t>
            </m:r>
            <m:r>
              <m:t>n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为信号入口，输出节点</w:t>
      </w:r>
      <w:r>
        <w:rPr>
          <w:rFonts w:eastAsia="黑体"/>
        </w:rPr>
        <w:t xml:space="preserve"> </w:t>
      </w:r>
      <m:oMath>
        <m:sSub>
          <m:e>
            <m:r>
              <m:t>N</m:t>
            </m:r>
          </m:e>
          <m:sub>
            <m:r>
              <m:t>o</m:t>
            </m:r>
            <m:r>
              <m:t>u</m:t>
            </m:r>
            <m:r>
              <m:t>t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为陷波后的信号出口，地节点</w:t>
      </w:r>
      <w:r>
        <w:rPr>
          <w:rFonts w:eastAsia="黑体"/>
        </w:rPr>
        <w:t xml:space="preserve"> </w:t>
      </w:r>
      <m:oMath>
        <m:r>
          <m:t>G</m:t>
        </m:r>
        <m:r>
          <m:t>N</m:t>
        </m:r>
        <m:r>
          <m:t>D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为公共参考；中间节点</w:t>
      </w:r>
      <w:r>
        <w:rPr>
          <w:rFonts w:eastAsia="黑体"/>
        </w:rPr>
        <w:t xml:space="preserve"> </w:t>
      </w:r>
      <m:oMath>
        <m:sSub>
          <m:e>
            <m:r>
              <m:t>N</m:t>
            </m:r>
          </m:e>
          <m:sub>
            <m:r>
              <m:t>m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为双</w:t>
      </w:r>
      <w:r>
        <w:rPr>
          <w:rFonts w:eastAsia="黑体"/>
        </w:rPr>
        <w:t xml:space="preserve"> T </w:t>
      </w:r>
      <w:r>
        <w:rPr>
          <w:rFonts w:hint="eastAsia" w:eastAsia="黑体"/>
        </w:rPr>
        <w:t xml:space="preserve">网络的中部连接点，分压节点</w:t>
      </w:r>
      <w:r>
        <w:rPr>
          <w:rFonts w:eastAsia="黑体"/>
        </w:rPr>
        <w:t xml:space="preserve"> </w:t>
      </w:r>
      <m:oMath>
        <m:sSub>
          <m:e>
            <m:r>
              <m:t>N</m:t>
            </m:r>
          </m:e>
          <m:sub>
            <m:r>
              <m:t>k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为</w:t>
      </w:r>
      <w:r>
        <w:rPr>
          <w:rFonts w:eastAsia="黑体"/>
        </w:rPr>
        <w:t xml:space="preserve"> </w:t>
      </w:r>
      <m:oMath>
        <m:sSub>
          <m:e>
            <m:r>
              <m:t>R</m:t>
            </m:r>
          </m:e>
          <m:sub>
            <m:r>
              <m:t>a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与</w:t>
      </w:r>
      <w:r>
        <w:rPr>
          <w:rFonts w:eastAsia="黑体"/>
        </w:rPr>
        <w:t xml:space="preserve"> </w:t>
      </w:r>
      <m:oMath>
        <m:sSub>
          <m:e>
            <m:r>
              <m:t>R</m:t>
            </m:r>
          </m:e>
          <m:sub>
            <m:r>
              <m:t>b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的连接点，用于提供正反馈；带通加求和器方式中还有带通输出节点</w:t>
      </w:r>
      <w:r>
        <w:rPr>
          <w:rFonts w:eastAsia="黑体"/>
        </w:rPr>
        <w:t xml:space="preserve"> </w:t>
      </w:r>
      <m:oMath>
        <m:sSub>
          <m:e>
            <m:r>
              <m:t>N</m:t>
            </m:r>
          </m:e>
          <m:sub>
            <m:r>
              <m:t>b</m:t>
            </m:r>
            <m:r>
              <m:t>p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接入求和器的某一输入端。</w:t>
      </w:r>
    </w:p>
    <w:p>
      <w:pPr/>
      <w:r>
        <w:rPr>
          <w:rFonts w:hint="eastAsia" w:eastAsia="黑体"/>
        </w:rPr>
        <w:t xml:space="preserve">各元件管脚连接：双</w:t>
      </w:r>
      <w:r>
        <w:rPr>
          <w:rFonts w:eastAsia="黑体"/>
        </w:rPr>
        <w:t xml:space="preserve"> T </w:t>
      </w:r>
      <w:r>
        <w:rPr>
          <w:rFonts w:hint="eastAsia" w:eastAsia="黑体"/>
        </w:rPr>
        <w:t xml:space="preserve">型中，第一条</w:t>
      </w:r>
      <w:r>
        <w:rPr>
          <w:rFonts w:eastAsia="黑体"/>
        </w:rPr>
        <w:t xml:space="preserve"> T </w:t>
      </w:r>
      <w:r>
        <w:rPr>
          <w:rFonts w:hint="eastAsia" w:eastAsia="黑体"/>
        </w:rPr>
        <w:t xml:space="preserve">支路由两只等值电阻</w:t>
      </w:r>
      <w:r>
        <w:rPr>
          <w:rFonts w:eastAsia="黑体"/>
        </w:rPr>
        <w:t xml:space="preserve"> </w:t>
      </w:r>
      <m:oMath>
        <m:r>
          <m:t>R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串联、中点经一只电容接地，第二条</w:t>
      </w:r>
      <w:r>
        <w:rPr>
          <w:rFonts w:eastAsia="黑体"/>
        </w:rPr>
        <w:t xml:space="preserve"> T </w:t>
      </w:r>
      <w:r>
        <w:rPr>
          <w:rFonts w:hint="eastAsia" w:eastAsia="黑体"/>
        </w:rPr>
        <w:t xml:space="preserve">支路由两只等值电容</w:t>
      </w:r>
      <w:r>
        <w:rPr>
          <w:rFonts w:eastAsia="黑体"/>
        </w:rPr>
        <w:t xml:space="preserve"> </w:t>
      </w:r>
      <m:oMath>
        <m:r>
          <m:t>C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串联、中点经一只电阻接地，两支路在</w:t>
      </w:r>
      <w:r>
        <w:rPr>
          <w:rFonts w:eastAsia="黑体"/>
        </w:rPr>
        <w:t xml:space="preserve"> </w:t>
      </w:r>
      <m:oMath>
        <m:sSub>
          <m:e>
            <m:r>
              <m:t>N</m:t>
            </m:r>
          </m:e>
          <m:sub>
            <m:r>
              <m:t>i</m:t>
            </m:r>
            <m:r>
              <m:t>n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与</w:t>
      </w:r>
      <w:r>
        <w:rPr>
          <w:rFonts w:eastAsia="黑体"/>
        </w:rPr>
        <w:t xml:space="preserve"> </w:t>
      </w:r>
      <m:oMath>
        <m:sSub>
          <m:e>
            <m:r>
              <m:t>N</m:t>
            </m:r>
          </m:e>
          <m:sub>
            <m:r>
              <m:t>o</m:t>
            </m:r>
            <m:r>
              <m:t>u</m:t>
            </m:r>
            <m:r>
              <m:t>t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之间并联；加运放整形时，运放</w:t>
      </w:r>
      <w:r>
        <w:rPr>
          <w:rFonts w:eastAsia="黑体"/>
        </w:rPr>
        <w:t xml:space="preserve"> A </w:t>
      </w:r>
      <w:r>
        <w:rPr>
          <w:rFonts w:hint="eastAsia" w:eastAsia="黑体"/>
        </w:rPr>
        <w:t xml:space="preserve">的反相端</w:t>
      </w:r>
      <w:r>
        <w:rPr>
          <w:rFonts w:eastAsia="黑体"/>
        </w:rPr>
        <w:t xml:space="preserve"> IN− </w:t>
      </w:r>
      <w:r>
        <w:rPr>
          <w:rFonts w:hint="eastAsia" w:eastAsia="黑体"/>
        </w:rPr>
        <w:t xml:space="preserve">接双</w:t>
      </w:r>
      <w:r>
        <w:rPr>
          <w:rFonts w:eastAsia="黑体"/>
        </w:rPr>
        <w:t xml:space="preserve"> T </w:t>
      </w:r>
      <w:r>
        <w:rPr>
          <w:rFonts w:hint="eastAsia" w:eastAsia="黑体"/>
        </w:rPr>
        <w:t xml:space="preserve">输出、同相端</w:t>
      </w:r>
      <w:r>
        <w:rPr>
          <w:rFonts w:eastAsia="黑体"/>
        </w:rPr>
        <w:t xml:space="preserve"> IN+ </w:t>
      </w:r>
      <w:r>
        <w:rPr>
          <w:rFonts w:hint="eastAsia" w:eastAsia="黑体"/>
        </w:rPr>
        <w:t xml:space="preserve">经分压节点</w:t>
      </w:r>
      <w:r>
        <w:rPr>
          <w:rFonts w:eastAsia="黑体"/>
        </w:rPr>
        <w:t xml:space="preserve"> </w:t>
      </w:r>
      <m:oMath>
        <m:sSub>
          <m:e>
            <m:r>
              <m:t>N</m:t>
            </m:r>
          </m:e>
          <m:sub>
            <m:r>
              <m:t>k</m:t>
            </m:r>
          </m:sub>
        </m:sSub>
      </m:oMath>
      <w:r>
        <w:rPr>
          <w:rFonts w:hint="eastAsia" w:eastAsia="黑体"/>
        </w:rPr>
        <w:t xml:space="preserve">（由</w:t>
      </w:r>
      <w:r>
        <w:rPr>
          <w:rFonts w:eastAsia="黑体"/>
        </w:rPr>
        <w:t xml:space="preserve"> </w:t>
      </w:r>
      <m:oMath>
        <m:sSub>
          <m:e>
            <m:r>
              <m:t>R</m:t>
            </m:r>
          </m:e>
          <m:sub>
            <m:r>
              <m:t>b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上接输出、</w:t>
      </w:r>
      <m:oMath>
        <m:sSub>
          <m:e>
            <m:r>
              <m:t>R</m:t>
            </m:r>
          </m:e>
          <m:sub>
            <m:r>
              <m:t>a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下接地构成）引入正反馈，运放</w:t>
      </w:r>
      <w:r>
        <w:rPr>
          <w:rFonts w:eastAsia="黑体"/>
        </w:rPr>
        <w:t xml:space="preserve"> OUT </w:t>
      </w:r>
      <w:r>
        <w:rPr>
          <w:rFonts w:hint="eastAsia" w:eastAsia="黑体"/>
        </w:rPr>
        <w:t xml:space="preserve">接</w:t>
      </w:r>
      <w:r>
        <w:rPr>
          <w:rFonts w:eastAsia="黑体"/>
        </w:rPr>
        <w:t xml:space="preserve"> </w:t>
      </w:r>
      <m:oMath>
        <m:sSub>
          <m:e>
            <m:r>
              <m:t>N</m:t>
            </m:r>
          </m:e>
          <m:sub>
            <m:r>
              <m:t>o</m:t>
            </m:r>
            <m:r>
              <m:t>u</m:t>
            </m:r>
            <m:r>
              <m:t>t</m:t>
            </m:r>
          </m:sub>
        </m:sSub>
      </m:oMath>
      <w:r>
        <w:rPr>
          <w:rFonts w:hint="eastAsia" w:eastAsia="黑体"/>
        </w:rPr>
        <w:t xml:space="preserve">。带通加求和器方式中，带通滤波器输出</w:t>
      </w:r>
      <w:r>
        <w:rPr>
          <w:rFonts w:eastAsia="黑体"/>
        </w:rPr>
        <w:t xml:space="preserve"> </w:t>
      </w:r>
      <m:oMath>
        <m:sSub>
          <m:e>
            <m:r>
              <m:t>N</m:t>
            </m:r>
          </m:e>
          <m:sub>
            <m:r>
              <m:t>b</m:t>
            </m:r>
            <m:r>
              <m:t>p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与原始输入</w:t>
      </w:r>
      <w:r>
        <w:rPr>
          <w:rFonts w:eastAsia="黑体"/>
        </w:rPr>
        <w:t xml:space="preserve"> </w:t>
      </w:r>
      <m:oMath>
        <m:sSub>
          <m:e>
            <m:r>
              <m:t>N</m:t>
            </m:r>
          </m:e>
          <m:sub>
            <m:r>
              <m:t>i</m:t>
            </m:r>
            <m:r>
              <m:t>n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分别接求和器（运算放大器反相求和输入）两端，使两者相减得到陷波输出；状态变量正交陷波用积分与求和网络合成正交信号形成零点，运放</w:t>
      </w:r>
      <w:r>
        <w:rPr>
          <w:rFonts w:eastAsia="黑体"/>
        </w:rPr>
        <w:t xml:space="preserve"> V+、V− </w:t>
      </w:r>
      <w:r>
        <w:rPr>
          <w:rFonts w:hint="eastAsia" w:eastAsia="黑体"/>
        </w:rPr>
        <w:t xml:space="preserve">分别接正负电源轨。</w:t>
      </w:r>
    </w:p>
    <w:p>
      <w:pPr/>
      <w:r>
        <w:rPr>
          <w:rFonts w:hint="eastAsia" w:eastAsia="黑体"/>
        </w:rPr>
        <w:t xml:space="preserve">组态上，这是通过对消式传输零点或负反馈实现的有源窄带带阻组态，可获得高</w:t>
      </w:r>
      <w:r>
        <w:rPr>
          <w:rFonts w:eastAsia="黑体"/>
        </w:rPr>
        <w:t xml:space="preserve"> Q </w:t>
      </w:r>
      <w:r>
        <w:rPr>
          <w:rFonts w:hint="eastAsia" w:eastAsia="黑体"/>
        </w:rPr>
        <w:t xml:space="preserve">值与可调陷波频率，用于去除电源工频、传感器工频串扰等单一强干扰信号。</w:t>
      </w:r>
    </w:p>
    <w:bookmarkEnd w:id="19"/>
    <w:bookmarkStart w:id="20" w:name="工作原理"/>
    <w:p>
      <w:pPr>
        <w:pStyle w:val="Heading2"/>
      </w:pPr>
      <w:r>
        <w:rPr>
          <w:rFonts w:hint="eastAsia" w:eastAsia="黑体"/>
        </w:rPr>
        <w:t xml:space="preserve">工作原理</w:t>
      </w:r>
    </w:p>
    <w:p>
      <w:pPr>
        <w:pStyle w:val="FirstParagraph"/>
      </w:pPr>
      <w:r>
        <w:rPr>
          <w:rFonts w:hint="eastAsia" w:eastAsia="黑体"/>
        </w:rPr>
        <w:t xml:space="preserve">电路在陷波频率通过对消或负反馈产生一个传输零点，使该频率信号被大幅衰减；远离陷波频率时增益恢复为近乎平坦。有源结构（如双</w:t>
      </w:r>
      <w:r>
        <w:rPr>
          <w:rFonts w:eastAsia="黑体"/>
        </w:rPr>
        <w:t xml:space="preserve"> T </w:t>
      </w:r>
      <w:r>
        <w:rPr>
          <w:rFonts w:hint="eastAsia" w:eastAsia="黑体"/>
        </w:rPr>
        <w:t xml:space="preserve">加正反馈）可在不放大噪声的前提下显著提升</w:t>
      </w:r>
      <w:r>
        <w:rPr>
          <w:rFonts w:eastAsia="黑体"/>
        </w:rPr>
        <w:t xml:space="preserve"> Q </w:t>
      </w:r>
      <w:r>
        <w:rPr>
          <w:rFonts w:hint="eastAsia" w:eastAsia="黑体"/>
        </w:rPr>
        <w:t xml:space="preserve">值，形成一个极窄的衰减槽。</w:t>
      </w:r>
    </w:p>
    <w:bookmarkEnd w:id="20"/>
    <w:bookmarkStart w:id="21" w:name="关键计算公式"/>
    <w:p>
      <w:pPr>
        <w:pStyle w:val="Heading2"/>
      </w:pPr>
      <w:r>
        <w:rPr>
          <w:rFonts w:hint="eastAsia" w:eastAsia="黑体"/>
        </w:rPr>
        <w:t xml:space="preserve">关键计算公式</w:t>
      </w:r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陷波中心频率（双</w:t>
      </w:r>
      <w:r>
        <w:rPr>
          <w:rFonts w:eastAsia="黑体"/>
        </w:rPr>
        <w:t xml:space="preserve"> T </w:t>
      </w:r>
      <w:r>
        <w:rPr>
          <w:rFonts w:hint="eastAsia" w:eastAsia="黑体"/>
        </w:rPr>
        <w:t xml:space="preserve">型，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R</m:t>
        </m:r>
      </m:oMath>
      <w:r>
        <w:rPr>
          <w:rFonts w:eastAsia="黑体"/>
        </w:rPr>
        <w:t xml:space="preserve">、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C</m:t>
        </m:r>
      </m:oMath>
      <w:r>
        <w:rPr>
          <w:rFonts w:hint="eastAsia" w:eastAsia="黑体"/>
        </w:rPr>
        <w:t xml:space="preserve">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π</m:t>
              </m:r>
              <m:r>
                <m:t>R</m:t>
              </m:r>
              <m:r>
                <m:t>C</m:t>
              </m:r>
            </m:den>
          </m:f>
        </m:oMath>
      </m:oMathPara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有源双</w:t>
      </w:r>
      <w:r>
        <w:rPr>
          <w:rFonts w:eastAsia="黑体"/>
        </w:rPr>
        <w:t xml:space="preserve"> T </w:t>
      </w:r>
      <w:r>
        <w:rPr>
          <w:rFonts w:hint="eastAsia" w:eastAsia="黑体"/>
        </w:rPr>
        <w:t xml:space="preserve">的品质因数（引入正反馈系数</w:t>
      </w:r>
      <w:r>
        <w:rPr>
          <w:rFonts w:eastAsia="黑体"/>
        </w:rPr>
        <w:t xml:space="preserve"> </w:t>
      </w:r>
      <m:oMath>
        <m:r>
          <m:t>k</m:t>
        </m:r>
      </m:oMath>
      <w:r>
        <w:rPr>
          <w:rFonts w:hint="eastAsia" w:eastAsia="黑体"/>
        </w:rPr>
        <w:t xml:space="preserve">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r>
            <m:t>Q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4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正反馈支路分压系数：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r>
            <m:t>k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b</m:t>
                  </m:r>
                </m:sub>
              </m:sSub>
            </m:num>
            <m:den>
              <m:sSub>
                <m:e>
                  <m:r>
                    <m:t>R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R</m:t>
                  </m:r>
                </m:e>
                <m:sub>
                  <m:r>
                    <m:t>b</m:t>
                  </m:r>
                </m:sub>
              </m:sSub>
            </m:den>
          </m:f>
        </m:oMath>
      </m:oMathPara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传递函数（二阶陷波）：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ω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</m:num>
            <m:den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r>
                        <m:t>ω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Q</m:t>
                  </m:r>
                </m:den>
              </m:f>
              <m:r>
                <m:t>s</m:t>
              </m:r>
              <m:r>
                <m:rPr>
                  <m:sty m:val="p"/>
                </m:rPr>
                <m:t>+</m:t>
              </m:r>
              <m:sSubSup>
                <m:e>
                  <m:r>
                    <m:t>ω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</m:den>
          </m:f>
        </m:oMath>
      </m:oMathPara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符号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单位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R</m:t>
              </m:r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双</w:t>
            </w:r>
            <w:r>
              <w:rPr>
                <w:rFonts w:eastAsia="黑体"/>
              </w:rPr>
              <w:t xml:space="preserve"> T </w:t>
            </w:r>
            <w:r>
              <w:rPr>
                <w:rFonts w:hint="eastAsia" w:eastAsia="黑体"/>
              </w:rPr>
              <w:t xml:space="preserve">网络电阻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Ω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C</m:t>
              </m:r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双</w:t>
            </w:r>
            <w:r>
              <w:rPr>
                <w:rFonts w:eastAsia="黑体"/>
              </w:rPr>
              <w:t xml:space="preserve"> T </w:t>
            </w:r>
            <w:r>
              <w:rPr>
                <w:rFonts w:hint="eastAsia" w:eastAsia="黑体"/>
              </w:rPr>
              <w:t xml:space="preserve">网络电容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F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f</m:t>
                  </m:r>
                </m:e>
                <m:sub>
                  <m:r>
                    <m:t>0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陷波中心频率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Hz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Q</m:t>
              </m:r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品质因数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k</m:t>
              </m:r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正反馈分压系数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—</w:t>
            </w:r>
          </w:p>
        </w:tc>
      </w:tr>
    </w:tbl>
    <w:bookmarkEnd w:id="21"/>
    <w:bookmarkStart w:id="22" w:name="元件调整影响"/>
    <w:p>
      <w:pPr>
        <w:pStyle w:val="Heading2"/>
      </w:pPr>
      <w:r>
        <w:rPr>
          <w:rFonts w:hint="eastAsia" w:eastAsia="黑体"/>
        </w:rPr>
        <w:t xml:space="preserve">元件调整影响</w:t>
      </w:r>
    </w:p>
    <w:p>
      <w:pPr>
        <w:pStyle w:val="Compact"/>
        <w:numPr>
          <w:ilvl w:val="0"/>
          <w:numId w:val="1002"/>
        </w:numPr>
      </w:pPr>
      <w:r>
        <w:rPr>
          <w:rFonts w:eastAsia="黑体"/>
          <w:b/>
          <w:bCs/>
        </w:rPr>
        <w:t xml:space="preserve">R </w:t>
      </w:r>
      <w:r>
        <w:rPr>
          <w:rFonts w:hint="eastAsia" w:eastAsia="黑体"/>
          <w:b/>
          <w:bCs/>
        </w:rPr>
        <w:t xml:space="preserve">增大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或</w:t>
      </w:r>
      <w:r>
        <w:rPr>
          <w:rFonts w:eastAsia="黑体"/>
          <w:b/>
          <w:bCs/>
        </w:rPr>
        <w:t xml:space="preserve"> C </w:t>
      </w:r>
      <w:r>
        <w:rPr>
          <w:rFonts w:hint="eastAsia" w:eastAsia="黑体"/>
          <w:b/>
          <w:bCs/>
        </w:rPr>
        <w:t xml:space="preserve">增大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</w:t>
      </w:r>
      <w:r>
        <w:rPr>
          <w:rFonts w:eastAsia="黑体"/>
        </w:rPr>
        <w:t xml:space="preserve"> </w:t>
      </w:r>
      <m:oMath>
        <m:sSub>
          <m:e>
            <m:r>
              <m:t>f</m:t>
            </m:r>
          </m:e>
          <m:sub>
            <m:r>
              <m:t>0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降低。</w:t>
      </w:r>
    </w:p>
    <w:p>
      <w:pPr>
        <w:pStyle w:val="Compact"/>
        <w:numPr>
          <w:ilvl w:val="0"/>
          <w:numId w:val="1002"/>
        </w:numPr>
      </w:pPr>
      <w:r>
        <w:rPr>
          <w:rFonts w:eastAsia="黑体"/>
          <w:b/>
          <w:bCs/>
        </w:rPr>
        <w:t xml:space="preserve">k </w:t>
      </w:r>
      <w:r>
        <w:rPr>
          <w:rFonts w:hint="eastAsia" w:eastAsia="黑体"/>
          <w:b/>
          <w:bCs/>
        </w:rPr>
        <w:t xml:space="preserve">增大（接近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1）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Q </w:t>
      </w:r>
      <w:r>
        <w:rPr>
          <w:rFonts w:hint="eastAsia" w:eastAsia="黑体"/>
        </w:rPr>
        <w:t xml:space="preserve">值升高，陷波变窄变深；但</w:t>
      </w:r>
      <w:r>
        <w:rPr>
          <w:rFonts w:eastAsia="黑体"/>
        </w:rPr>
        <w:t xml:space="preserve"> k </w:t>
      </w:r>
      <w:r>
        <w:rPr>
          <w:rFonts w:hint="eastAsia" w:eastAsia="黑体"/>
        </w:rPr>
        <w:t xml:space="preserve">过大时可能自激振荡。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黑体"/>
          <w:b/>
          <w:bCs/>
        </w:rPr>
        <w:t xml:space="preserve">元件失配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陷波深度下降，衰减零点被破坏。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黑体"/>
        </w:rPr>
        <w:t xml:space="preserve">有源结构的</w:t>
      </w:r>
      <w:r>
        <w:rPr>
          <w:rFonts w:eastAsia="黑体"/>
        </w:rPr>
        <w:t xml:space="preserve"> Q </w:t>
      </w:r>
      <w:r>
        <w:rPr>
          <w:rFonts w:hint="eastAsia" w:eastAsia="黑体"/>
        </w:rPr>
        <w:t xml:space="preserve">值远高于无源双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T，可实现很窄的陷波频带。</w:t>
      </w:r>
    </w:p>
    <w:bookmarkEnd w:id="22"/>
    <w:bookmarkStart w:id="23" w:name="典型参数示例"/>
    <w:p>
      <w:pPr>
        <w:pStyle w:val="Heading2"/>
      </w:pPr>
      <w:r>
        <w:rPr>
          <w:rFonts w:hint="eastAsia" w:eastAsia="黑体"/>
        </w:rPr>
        <w:t xml:space="preserve">典型参数示例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黑体"/>
        </w:rPr>
        <w:t xml:space="preserve">若需</w:t>
      </w:r>
      <w:r>
        <w:rPr>
          <w:rFonts w:eastAsia="黑体"/>
        </w:rPr>
        <w:t xml:space="preserve"> </w:t>
      </w:r>
      <m:oMath>
        <m:sSub>
          <m:e>
            <m:r>
              <m:t>f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50</m:t>
        </m:r>
        <m:r>
          <m:t> </m:t>
        </m:r>
        <m:r>
          <m:rPr>
            <m:nor/>
            <m:sty m:val="p"/>
          </m:rPr>
          <m:t>Hz</m:t>
        </m:r>
      </m:oMath>
      <w:r>
        <w:rPr>
          <w:rFonts w:eastAsia="黑体"/>
        </w:rPr>
        <w:t xml:space="preserve">、</w:t>
      </w:r>
      <m:oMath>
        <m:r>
          <m:t>Q</m:t>
        </m:r>
        <m:r>
          <m:rPr>
            <m:sty m:val="p"/>
          </m:rPr>
          <m:t>=</m:t>
        </m:r>
        <m:r>
          <m:t>10</m:t>
        </m:r>
      </m:oMath>
      <w:r>
        <w:rPr>
          <w:rFonts w:hint="eastAsia" w:eastAsia="黑体"/>
        </w:rPr>
        <w:t xml:space="preserve">：取</w:t>
      </w:r>
      <w:r>
        <w:rPr>
          <w:rFonts w:eastAsia="黑体"/>
        </w:rPr>
        <w:t xml:space="preserve"> </w:t>
      </w:r>
      <m:oMath>
        <m:r>
          <m:t>C</m:t>
        </m:r>
        <m:r>
          <m:rPr>
            <m:sty m:val="p"/>
          </m:rPr>
          <m:t>=</m:t>
        </m:r>
        <m:r>
          <m:t>100</m:t>
        </m:r>
        <m:r>
          <m:t> </m:t>
        </m:r>
        <m:r>
          <m:rPr>
            <m:nor/>
            <m:sty m:val="p"/>
          </m:rPr>
          <m:t>nF</m:t>
        </m:r>
      </m:oMath>
      <w:r>
        <w:rPr>
          <w:rFonts w:hint="eastAsia" w:eastAsia="黑体"/>
        </w:rPr>
        <w:t xml:space="preserve">，则</w:t>
      </w:r>
      <w:r>
        <w:rPr>
          <w:rFonts w:eastAsia="黑体"/>
        </w:rPr>
        <w:t xml:space="preserve"> </w:t>
      </w:r>
      <m:oMath>
        <m:r>
          <m:t>R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  <m:r>
              <m:rPr>
                <m:sty m:val="p"/>
              </m:rPr>
              <m:t>×</m:t>
            </m:r>
            <m:r>
              <m:t>50</m:t>
            </m:r>
            <m:r>
              <m:rPr>
                <m:sty m:val="p"/>
              </m:rPr>
              <m:t>×</m:t>
            </m:r>
            <m:r>
              <m:t>100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9</m:t>
                </m:r>
              </m:sup>
            </m:sSup>
          </m:den>
        </m:f>
        <m:r>
          <m:rPr>
            <m:sty m:val="p"/>
          </m:rPr>
          <m:t>≈</m:t>
        </m:r>
        <m:r>
          <m:t>31.8</m:t>
        </m:r>
        <m:r>
          <m:t> </m:t>
        </m:r>
        <m:r>
          <m:rPr>
            <m:nor/>
            <m:sty m:val="p"/>
          </m:rPr>
          <m:t>kΩ</m:t>
        </m:r>
      </m:oMath>
      <w:r>
        <w:rPr>
          <w:rFonts w:hint="eastAsia" w:eastAsia="黑体"/>
        </w:rPr>
        <w:t xml:space="preserve">；由</w:t>
      </w:r>
      <w:r>
        <w:rPr>
          <w:rFonts w:eastAsia="黑体"/>
        </w:rPr>
        <w:t xml:space="preserve"> </w:t>
      </w:r>
      <m:oMath>
        <m:r>
          <m:t>Q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k</m:t>
            </m:r>
            <m:r>
              <m:rPr>
                <m:sty m:val="p"/>
              </m:rPr>
              <m:t>)</m:t>
            </m:r>
          </m:den>
        </m:f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得</w:t>
      </w:r>
      <w:r>
        <w:rPr>
          <w:rFonts w:eastAsia="黑体"/>
        </w:rP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40</m:t>
            </m:r>
          </m:den>
        </m:f>
        <m:r>
          <m:rPr>
            <m:sty m:val="p"/>
          </m:rPr>
          <m:t>=</m:t>
        </m:r>
        <m:r>
          <m:t>0.975</m:t>
        </m:r>
      </m:oMath>
      <w:r>
        <w:rPr>
          <w:rFonts w:hint="eastAsia" w:eastAsia="黑体"/>
        </w:rPr>
        <w:t xml:space="preserve">，据此取反馈分压电阻比。</w:t>
      </w:r>
    </w:p>
    <w:bookmarkEnd w:id="23"/>
    <w:bookmarkStart w:id="24" w:name="常见器件型号"/>
    <w:p>
      <w:pPr>
        <w:pStyle w:val="Heading2"/>
      </w:pPr>
      <w:r>
        <w:rPr>
          <w:rFonts w:hint="eastAsia" w:eastAsia="黑体"/>
        </w:rPr>
        <w:t xml:space="preserve">常见器件型号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黑体"/>
        </w:rPr>
        <w:t xml:space="preserve">运放：OP07、LM358、TL072、OPA227（低噪声）。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黑体"/>
        </w:rPr>
        <w:t xml:space="preserve">专用滤波器</w:t>
      </w:r>
      <w:r>
        <w:rPr>
          <w:rFonts w:eastAsia="黑体"/>
        </w:rPr>
        <w:t xml:space="preserve"> / </w:t>
      </w:r>
      <w:r>
        <w:rPr>
          <w:rFonts w:hint="eastAsia" w:eastAsia="黑体"/>
        </w:rPr>
        <w:t xml:space="preserve">状态变量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IC：UAF42、LMF100。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黑体"/>
        </w:rPr>
        <w:t xml:space="preserve">精密阻容：0.1%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金属膜电阻、C0G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或聚苯乙烯电容。</w:t>
      </w:r>
    </w:p>
    <w:bookmarkEnd w:id="24"/>
    <w:bookmarkStart w:id="25" w:name="注意事项"/>
    <w:p>
      <w:pPr>
        <w:pStyle w:val="Heading2"/>
      </w:pPr>
      <w:r>
        <w:rPr>
          <w:rFonts w:hint="eastAsia" w:eastAsia="黑体"/>
        </w:rPr>
        <w:t xml:space="preserve">注意事项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元件匹配精度决定陷波深度，需精密配对的</w:t>
      </w:r>
      <w:r>
        <w:rPr>
          <w:rFonts w:eastAsia="黑体"/>
        </w:rPr>
        <w:t xml:space="preserve"> R、C。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高</w:t>
      </w:r>
      <w:r>
        <w:rPr>
          <w:rFonts w:eastAsia="黑体"/>
        </w:rPr>
        <w:t xml:space="preserve"> Q </w:t>
      </w:r>
      <w:r>
        <w:rPr>
          <w:rFonts w:hint="eastAsia" w:eastAsia="黑体"/>
        </w:rPr>
        <w:t xml:space="preserve">有源陷波器的正反馈易引发自激，需限制</w:t>
      </w:r>
      <w:r>
        <w:rPr>
          <w:rFonts w:eastAsia="黑体"/>
        </w:rPr>
        <w:t xml:space="preserve"> k </w:t>
      </w:r>
      <w:r>
        <w:rPr>
          <w:rFonts w:hint="eastAsia" w:eastAsia="黑体"/>
        </w:rPr>
        <w:t xml:space="preserve">值并做好相位裕度。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陷波频率处相位陡变，可能影响闭环系统稳定性，需评估环路相位。</w:t>
      </w:r>
    </w:p>
    <w:bookmarkEnd w:id="25"/>
    <w:bookmarkStart w:id="26" w:name="参考资料"/>
    <w:p>
      <w:pPr>
        <w:pStyle w:val="Heading2"/>
      </w:pPr>
      <w:r>
        <w:rPr>
          <w:rFonts w:hint="eastAsia" w:eastAsia="黑体"/>
        </w:rPr>
        <w:t xml:space="preserve">参考资料</w:t>
      </w:r>
    </w:p>
    <w:p>
      <w:pPr>
        <w:pStyle w:val="Compact"/>
        <w:numPr>
          <w:ilvl w:val="0"/>
          <w:numId w:val="1006"/>
        </w:numPr>
      </w:pPr>
      <w:r>
        <w:rPr>
          <w:rFonts w:eastAsia="黑体"/>
        </w:rPr>
        <w:t xml:space="preserve">Wikipedia: Band-stop filter。</w:t>
      </w:r>
    </w:p>
    <w:p>
      <w:pPr>
        <w:pStyle w:val="Compact"/>
        <w:numPr>
          <w:ilvl w:val="0"/>
          <w:numId w:val="1006"/>
        </w:numPr>
      </w:pPr>
      <w:r>
        <w:rPr>
          <w:rFonts w:eastAsia="黑体"/>
        </w:rPr>
        <w:t xml:space="preserve">TI </w:t>
      </w:r>
      <w:r>
        <w:rPr>
          <w:rFonts w:hint="eastAsia" w:eastAsia="黑体"/>
        </w:rPr>
        <w:t xml:space="preserve">应用笔记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SLOA093（有源滤波器设计）。</w:t>
      </w:r>
    </w:p>
    <w:p>
      <w:pPr>
        <w:pStyle w:val="Compact"/>
        <w:numPr>
          <w:ilvl w:val="0"/>
          <w:numId w:val="1006"/>
        </w:numPr>
      </w:pPr>
      <w:r>
        <w:rPr>
          <w:rFonts w:hint="eastAsia" w:eastAsia="黑体"/>
        </w:rPr>
        <w:t xml:space="preserve">《模拟电子技术基础》（童诗白、华成英）。</w:t>
      </w:r>
    </w:p>
    <w:bookmarkEnd w:id="26"/>
    <w:bookmarkEnd w:id="27"/>
    <w:p>
      <w:pPr>
        <w:spacing w:before="360"/>
        <w:jc w:val="center"/>
      </w:pPr>
      <w:r>
        <w:rPr>
          <w:rFonts w:ascii="Times New Roman" w:hAnsi="Times New Roman" w:eastAsia="黑体"/>
          <w:color w:val="555555"/>
          <w:sz w:val="21"/>
        </w:rPr>
        <w:t>材料收集者：杜文杰，WX手机：19519196569，QQ:3478827729</w:t>
      </w:r>
    </w:p>
    <w:sectPr w:rsidR="00FC693F" w:rsidRPr="0006063C" w:rsidSect="00034616">
      <w:headerReference r:id="rId9" w:type="default"/>
      <w:footerReference r:id="rId10" w:type="default"/>
      <w:pgSz w:h="16838" w:w="11906"/>
      <w:pgMar w:bottom="1134" w:footer="720" w:gutter="0" w:header="720" w:left="1361" w:right="1361" w:top="1247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eastAsia="黑体"/>
        <w:sz w:val="18"/>
      </w:rPr>
      <w:t xml:space="preserve">第 </w:t>
    </w:r>
    <w:r>
      <w:rPr>
        <w:rFonts w:eastAsia="黑体"/>
        <w:sz w:val="18"/>
      </w:rPr>
      <w:fldChar w:fldCharType="begin"/>
      <w:instrText xml:space="preserve">PAGE</w:instrText>
      <w:fldChar w:fldCharType="end"/>
    </w:r>
    <w:r>
      <w:rPr>
        <w:rFonts w:eastAsia="黑体"/>
        <w:sz w:val="18"/>
      </w:rPr>
      <w:t xml:space="preserve"> 页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rPr>
          <w:rFonts w:eastAsia="黑体"/>
        </w:rPr>
        <w:continuationSeparator/>
      </w:r>
    </w:p>
  </w:footnote>
  <w:footnote w:type="separator" w:id="-1">
    <w:p>
      <w:r>
        <w:rPr>
          <w:rFonts w:eastAsia="黑体"/>
        </w:rPr>
        <w:separator/>
      </w:r>
    </w:p>
  </w:footnote>
</w:footnotes>
</file>

<file path=word/header1.xml><?xml version="1.0" encoding="utf-8"?>
<w:hdr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 w:eastAsia="黑体"/>
        <w:sz w:val="18"/>
        <w:rFonts w:eastAsia="黑体"/>
        <w:rFonts w:eastAsia="黑体"/>
      </w:rPr>
      <w:t>陷波器Notch电路</w:t>
    </w:r>
  </w:p>
</w:hdr>
</file>

<file path=word/numbering.xml><?xml version="1.0" encoding="utf-8"?>
<w:numbering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 w:eastAsia="黑体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 w:eastAsia="黑体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 w:eastAsia="黑体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 w:eastAsia="黑体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 w:eastAsia="黑体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 w:eastAsia="黑体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 w:eastAsia="黑体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 w:eastAsia="黑体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 w:eastAsia="黑体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 w:eastAsia="黑体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 w:eastAsia="黑体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 w:eastAsia="黑体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 w:eastAsia="黑体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r="http://schemas.openxmlformats.org/officeDocument/2006/relationships" xmlns:w14="http://schemas.microsoft.com/office/word/2010/wordml" mc:Ignorable="w14">
  <w:docDefaults>
    <w:rPrDefault>
      <w:rPr>
        <w:rFonts w:asciiTheme="minorHAnsi" w:cstheme="minorBidi" w:hAnsiTheme="minorHAnsi" w:eastAsia="黑体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80" w:line="300" w:lineRule="auto"/>
    </w:pPr>
    <w:rPr>
      <w:rFonts w:ascii="Times New Roman" w:eastAsia="黑体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60" w:before="280"/>
      <w:outlineLvl w:val="0"/>
    </w:pPr>
    <w:rPr>
      <w:rFonts w:ascii="Times New Roman" w:asciiTheme="majorHAnsi" w:cstheme="majorBidi" w:eastAsia="黑体" w:hAnsi="Times New Roman" w:hAnsiTheme="majorHAnsi"/>
      <w:b/>
      <w:bCs/>
      <w:color w:val="1F3864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20" w:before="240"/>
      <w:outlineLvl w:val="1"/>
    </w:pPr>
    <w:rPr>
      <w:rFonts w:ascii="Times New Roman" w:asciiTheme="majorHAnsi" w:cstheme="majorBidi" w:eastAsia="黑体" w:hAnsi="Times New Roman" w:hAnsiTheme="majorHAnsi"/>
      <w:b/>
      <w:bCs/>
      <w:color w:val="2E4E7E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20" w:before="200"/>
      <w:outlineLvl w:val="2"/>
    </w:pPr>
    <w:rPr>
      <w:rFonts w:ascii="Times New Roman" w:asciiTheme="majorHAnsi" w:cstheme="majorBidi" w:eastAsia="黑体" w:hAnsi="Times New Roman" w:hAnsiTheme="majorHAnsi"/>
      <w:b/>
      <w:bCs/>
      <w:color w:val="2E4E7E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80" w:before="160"/>
      <w:outlineLvl w:val="3"/>
    </w:pPr>
    <w:rPr>
      <w:rFonts w:ascii="Times New Roman" w:asciiTheme="majorHAnsi" w:cstheme="majorBidi" w:eastAsia="黑体" w:hAnsi="Times New Roman" w:hAnsiTheme="majorHAnsi"/>
      <w:b/>
      <w:bCs/>
      <w:i/>
      <w:iCs/>
      <w:color w:val="333333"/>
      <w:sz w:val="22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60" w:before="120"/>
      <w:outlineLvl w:val="4"/>
    </w:pPr>
    <w:rPr>
      <w:rFonts w:ascii="Times New Roman" w:asciiTheme="majorHAnsi" w:cstheme="majorBidi" w:eastAsia="黑体" w:hAnsi="Times New Roman" w:hAnsiTheme="majorHAnsi"/>
      <w:b/>
      <w:color w:val="333333"/>
      <w:sz w:val="22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hAnsiTheme="majorHAnsi" w:eastAsia="黑体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hAnsiTheme="majorHAnsi" w:eastAsia="黑体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hAnsiTheme="majorHAnsi" w:eastAsia="黑体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hAnsiTheme="majorHAnsi" w:eastAsia="黑体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hAnsiTheme="majorHAnsi" w:eastAsia="黑体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hAnsiTheme="majorHAnsi" w:eastAsia="黑体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hAnsiTheme="majorHAnsi" w:eastAsia="黑体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keepNext/>
      <w:pBdr>
        <w:bottom w:color="4F81BD" w:space="4" w:sz="8" w:themeColor="accent1" w:val="single"/>
      </w:pBdr>
      <w:spacing w:after="160" w:before="280" w:line="240" w:lineRule="auto"/>
      <w:contextualSpacing/>
    </w:pPr>
    <w:rPr>
      <w:rFonts w:ascii="Times New Roman" w:asciiTheme="majorHAnsi" w:cstheme="majorBidi" w:eastAsia="黑体" w:hAnsi="Times New Roman" w:hAnsiTheme="majorHAnsi"/>
      <w:b/>
      <w:color w:val="1F3864"/>
      <w:spacing w:val="5"/>
      <w:kern w:val="28"/>
      <w:sz w:val="44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hAnsiTheme="majorHAnsi" w:eastAsia="黑体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hAnsiTheme="majorHAnsi" w:eastAsia="黑体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hAnsiTheme="majorHAnsi" w:eastAsia="黑体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rFonts w:eastAsia="黑体"/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rFonts w:eastAsia="黑体"/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 w:eastAsia="黑体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 w:eastAsia="黑体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pPr>
      <w:pBdr>
        <w:left w:color="2E4E7E" w:space="6" w:sz="12" w:val="single"/>
      </w:pBdr>
      <w:shd w:fill="F2F7FD" w:val="clear"/>
      <w:spacing w:after="40" w:before="40"/>
      <w:ind w:left="170" w:right="170"/>
    </w:pPr>
    <w:rPr>
      <w:rFonts w:ascii="Times New Roman" w:eastAsia="黑体" w:hAnsi="Times New Roman"/>
      <w:i/>
      <w:iCs/>
      <w:color w:themeColor="text1" w:val="000000"/>
      <w:sz w:val="21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rFonts w:eastAsia="黑体"/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hAnsiTheme="majorHAnsi" w:eastAsia="黑体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hAnsiTheme="majorHAnsi" w:eastAsia="黑体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hAnsiTheme="majorHAnsi" w:eastAsia="黑体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hAnsiTheme="majorHAnsi" w:eastAsia="黑体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hAnsiTheme="majorHAnsi" w:eastAsia="黑体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hAnsiTheme="majorHAnsi" w:eastAsia="黑体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eastAsia="黑体"/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rFonts w:eastAsia="黑体"/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rFonts w:eastAsia="黑体"/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rFonts w:eastAsia="黑体"/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rFonts w:eastAsia="黑体"/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rFonts w:eastAsia="黑体"/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rFonts w:eastAsia="黑体"/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rFonts w:eastAsia="黑体"/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rFonts w:eastAsia="黑体"/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rFonts w:eastAsia="黑体"/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rFonts w:eastAsia="黑体"/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rFonts w:eastAsia="黑体"/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rFonts w:eastAsia="黑体"/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rFonts w:eastAsia="黑体"/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rFonts w:eastAsia="黑体"/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rFonts w:eastAsia="黑体"/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rFonts w:eastAsia="黑体"/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rFonts w:eastAsia="黑体"/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rFonts w:eastAsia="黑体"/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rFonts w:eastAsia="黑体"/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rFonts w:eastAsia="黑体"/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rFonts w:eastAsia="黑体"/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rFonts w:eastAsia="黑体"/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rFonts w:eastAsia="黑体"/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rFonts w:eastAsia="黑体"/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rFonts w:eastAsia="黑体"/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rFonts w:eastAsia="黑体"/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rFonts w:eastAsia="黑体"/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rFonts w:eastAsia="黑体"/>
      <w:b/>
      <w:color w:val="007020"/>
    </w:rPr>
  </w:style>
  <w:style w:type="character" w:customStyle="1" w:styleId="DataTypeTok">
    <w:name w:val="DataTypeTok"/>
    <w:basedOn w:val="VerbatimChar"/>
    <w:rPr>
      <w:rFonts w:eastAsia="黑体"/>
      <w:color w:val="902000"/>
    </w:rPr>
  </w:style>
  <w:style w:type="character" w:customStyle="1" w:styleId="DecValTok">
    <w:name w:val="DecValTok"/>
    <w:basedOn w:val="VerbatimChar"/>
    <w:rPr>
      <w:rFonts w:eastAsia="黑体"/>
      <w:color w:val="40a070"/>
    </w:rPr>
  </w:style>
  <w:style w:type="character" w:customStyle="1" w:styleId="BaseNTok">
    <w:name w:val="BaseNTok"/>
    <w:basedOn w:val="VerbatimChar"/>
    <w:rPr>
      <w:rFonts w:eastAsia="黑体"/>
      <w:color w:val="40a070"/>
    </w:rPr>
  </w:style>
  <w:style w:type="character" w:customStyle="1" w:styleId="FloatTok">
    <w:name w:val="FloatTok"/>
    <w:basedOn w:val="VerbatimChar"/>
    <w:rPr>
      <w:rFonts w:eastAsia="黑体"/>
      <w:color w:val="40a070"/>
    </w:rPr>
  </w:style>
  <w:style w:type="character" w:customStyle="1" w:styleId="ConstantTok">
    <w:name w:val="ConstantTok"/>
    <w:basedOn w:val="VerbatimChar"/>
    <w:rPr>
      <w:rFonts w:eastAsia="黑体"/>
      <w:color w:val="880000"/>
    </w:rPr>
  </w:style>
  <w:style w:type="character" w:customStyle="1" w:styleId="CharTok">
    <w:name w:val="CharTok"/>
    <w:basedOn w:val="VerbatimChar"/>
    <w:rPr>
      <w:rFonts w:eastAsia="黑体"/>
      <w:color w:val="4070a0"/>
    </w:rPr>
  </w:style>
  <w:style w:type="character" w:customStyle="1" w:styleId="SpecialCharTok">
    <w:name w:val="SpecialCharTok"/>
    <w:basedOn w:val="VerbatimChar"/>
    <w:rPr>
      <w:rFonts w:eastAsia="黑体"/>
      <w:color w:val="4070a0"/>
    </w:rPr>
  </w:style>
  <w:style w:type="character" w:customStyle="1" w:styleId="StringTok">
    <w:name w:val="StringTok"/>
    <w:basedOn w:val="VerbatimChar"/>
    <w:rPr>
      <w:rFonts w:eastAsia="黑体"/>
      <w:color w:val="4070a0"/>
    </w:rPr>
  </w:style>
  <w:style w:type="character" w:customStyle="1" w:styleId="VerbatimStringTok">
    <w:name w:val="VerbatimStringTok"/>
    <w:basedOn w:val="VerbatimChar"/>
    <w:rPr>
      <w:rFonts w:eastAsia="黑体"/>
      <w:color w:val="4070a0"/>
    </w:rPr>
  </w:style>
  <w:style w:type="character" w:customStyle="1" w:styleId="SpecialStringTok">
    <w:name w:val="SpecialStringTok"/>
    <w:basedOn w:val="VerbatimChar"/>
    <w:rPr>
      <w:rFonts w:eastAsia="黑体"/>
      <w:color w:val="bb6688"/>
    </w:rPr>
  </w:style>
  <w:style w:type="character" w:customStyle="1" w:styleId="ImportTok">
    <w:name w:val="ImportTok"/>
    <w:basedOn w:val="VerbatimChar"/>
    <w:rPr>
      <w:rFonts w:eastAsia="黑体"/>
      <w:b/>
      <w:color w:val="008000"/>
    </w:rPr>
  </w:style>
  <w:style w:type="character" w:customStyle="1" w:styleId="CommentTok">
    <w:name w:val="CommentTok"/>
    <w:basedOn w:val="VerbatimChar"/>
    <w:rPr>
      <w:rFonts w:eastAsia="黑体"/>
      <w:i/>
      <w:color w:val="60a0b0"/>
    </w:rPr>
  </w:style>
  <w:style w:type="character" w:customStyle="1" w:styleId="DocumentationTok">
    <w:name w:val="DocumentationTok"/>
    <w:basedOn w:val="VerbatimChar"/>
    <w:rPr>
      <w:rFonts w:eastAsia="黑体"/>
      <w:i/>
      <w:color w:val="ba2121"/>
    </w:rPr>
  </w:style>
  <w:style w:type="character" w:customStyle="1" w:styleId="AnnotationTok">
    <w:name w:val="AnnotationTok"/>
    <w:basedOn w:val="VerbatimChar"/>
    <w:rPr>
      <w:rFonts w:eastAsia="黑体"/>
      <w:b/>
      <w:i/>
      <w:color w:val="60a0b0"/>
    </w:rPr>
  </w:style>
  <w:style w:type="character" w:customStyle="1" w:styleId="CommentVarTok">
    <w:name w:val="CommentVarTok"/>
    <w:basedOn w:val="VerbatimChar"/>
    <w:rPr>
      <w:rFonts w:eastAsia="黑体"/>
      <w:b/>
      <w:i/>
      <w:color w:val="60a0b0"/>
    </w:rPr>
  </w:style>
  <w:style w:type="character" w:customStyle="1" w:styleId="OtherTok">
    <w:name w:val="OtherTok"/>
    <w:basedOn w:val="VerbatimChar"/>
    <w:rPr>
      <w:rFonts w:eastAsia="黑体"/>
      <w:color w:val="007020"/>
    </w:rPr>
  </w:style>
  <w:style w:type="character" w:customStyle="1" w:styleId="FunctionTok">
    <w:name w:val="FunctionTok"/>
    <w:basedOn w:val="VerbatimChar"/>
    <w:rPr>
      <w:rFonts w:eastAsia="黑体"/>
      <w:color w:val="06287e"/>
    </w:rPr>
  </w:style>
  <w:style w:type="character" w:customStyle="1" w:styleId="VariableTok">
    <w:name w:val="VariableTok"/>
    <w:basedOn w:val="VerbatimChar"/>
    <w:rPr>
      <w:rFonts w:eastAsia="黑体"/>
      <w:color w:val="19177c"/>
    </w:rPr>
  </w:style>
  <w:style w:type="character" w:customStyle="1" w:styleId="ControlFlowTok">
    <w:name w:val="ControlFlowTok"/>
    <w:basedOn w:val="VerbatimChar"/>
    <w:rPr>
      <w:rFonts w:eastAsia="黑体"/>
      <w:b/>
      <w:color w:val="007020"/>
    </w:rPr>
  </w:style>
  <w:style w:type="character" w:customStyle="1" w:styleId="OperatorTok">
    <w:name w:val="OperatorTok"/>
    <w:basedOn w:val="VerbatimChar"/>
    <w:rPr>
      <w:rFonts w:eastAsia="黑体"/>
      <w:color w:val="666666"/>
    </w:rPr>
  </w:style>
  <w:style w:type="character" w:customStyle="1" w:styleId="BuiltInTok">
    <w:name w:val="BuiltInTok"/>
    <w:basedOn w:val="VerbatimChar"/>
    <w:rPr>
      <w:rFonts w:eastAsia="黑体"/>
      <w:color w:val="008000"/>
    </w:rPr>
  </w:style>
  <w:style w:type="character" w:customStyle="1" w:styleId="ExtensionTok">
    <w:name w:val="ExtensionTok"/>
    <w:basedOn w:val="VerbatimChar"/>
    <w:rPr>
      <w:rFonts w:eastAsia="黑体"/>
    </w:rPr>
  </w:style>
  <w:style w:type="character" w:customStyle="1" w:styleId="PreprocessorTok">
    <w:name w:val="PreprocessorTok"/>
    <w:basedOn w:val="VerbatimChar"/>
    <w:rPr>
      <w:rFonts w:eastAsia="黑体"/>
      <w:color w:val="bc7a00"/>
    </w:rPr>
  </w:style>
  <w:style w:type="character" w:customStyle="1" w:styleId="AttributeTok">
    <w:name w:val="AttributeTok"/>
    <w:basedOn w:val="VerbatimChar"/>
    <w:rPr>
      <w:rFonts w:eastAsia="黑体"/>
      <w:color w:val="7d9029"/>
    </w:rPr>
  </w:style>
  <w:style w:type="character" w:customStyle="1" w:styleId="RegionMarkerTok">
    <w:name w:val="RegionMarkerTok"/>
    <w:basedOn w:val="VerbatimChar"/>
    <w:rPr>
      <w:rFonts w:eastAsia="黑体"/>
    </w:rPr>
  </w:style>
  <w:style w:type="character" w:customStyle="1" w:styleId="InformationTok">
    <w:name w:val="InformationTok"/>
    <w:basedOn w:val="VerbatimChar"/>
    <w:rPr>
      <w:rFonts w:eastAsia="黑体"/>
      <w:b/>
      <w:i/>
      <w:color w:val="60a0b0"/>
    </w:rPr>
  </w:style>
  <w:style w:type="character" w:customStyle="1" w:styleId="WarningTok">
    <w:name w:val="WarningTok"/>
    <w:basedOn w:val="VerbatimChar"/>
    <w:rPr>
      <w:rFonts w:eastAsia="黑体"/>
      <w:b/>
      <w:i/>
      <w:color w:val="60a0b0"/>
    </w:rPr>
  </w:style>
  <w:style w:type="character" w:customStyle="1" w:styleId="AlertTok">
    <w:name w:val="AlertTok"/>
    <w:basedOn w:val="VerbatimChar"/>
    <w:rPr>
      <w:rFonts w:eastAsia="黑体"/>
      <w:b/>
      <w:color w:val="ff0000"/>
    </w:rPr>
  </w:style>
  <w:style w:type="character" w:customStyle="1" w:styleId="ErrorTok">
    <w:name w:val="ErrorTok"/>
    <w:basedOn w:val="VerbatimChar"/>
    <w:rPr>
      <w:rFonts w:eastAsia="黑体"/>
      <w:b/>
      <w:color w:val="ff0000"/>
    </w:rPr>
  </w:style>
  <w:style w:type="character" w:customStyle="1" w:styleId="NormalTok">
    <w:name w:val="NormalTok"/>
    <w:basedOn w:val="VerbatimChar"/>
    <w:rPr>
      <w:rFonts w:eastAsia="黑体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8" Type="http://schemas.openxmlformats.org/officeDocument/2006/relationships/numbering" Target="numbering.xml"/><Relationship Id="rId17" Type="http://schemas.openxmlformats.org/officeDocument/2006/relationships/styles" Target="styles.xml"/><Relationship Id="rId16" Type="http://schemas.openxmlformats.org/officeDocument/2006/relationships/settings" Target="settings.xml"/><Relationship Id="rId15" Type="http://schemas.openxmlformats.org/officeDocument/2006/relationships/webSettings" Target="webSettings.xml"/><Relationship Id="rId14" Type="http://schemas.openxmlformats.org/officeDocument/2006/relationships/fontTable" Target="fontTable.xml"/><Relationship Id="rId13" Type="http://schemas.openxmlformats.org/officeDocument/2006/relationships/theme" Target="theme/theme1.xml"/><Relationship Id="rId12" Type="http://schemas.openxmlformats.org/officeDocument/2006/relationships/footnotes" Target="footnotes.xml"/><Relationship Id="rId1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黑体"/>
        <a:cs typeface=""/>
        <a:font script="Jpan" typeface="ＭＳ ゴシック"/>
        <a:font script="Hang" typeface="맑은 고딕"/>
        <a:font script="Hans" typeface="黑体"/>
        <a:font script="Hant" typeface="黑体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黑体"/>
        <a:cs typeface=""/>
        <a:font script="Jpan" typeface="ＭＳ 明朝"/>
        <a:font script="Hang" typeface="맑은 고딕"/>
        <a:font script="Hans" typeface="黑体"/>
        <a:font script="Hant" typeface="黑体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陷波器Notch电路</dc:title>
  <dc:creator>AI 智能体</dc:creator>
  <cp:keywords/>
  <dcterms:created xsi:type="dcterms:W3CDTF">2026-09-08T14:37:14Z</dcterms:created>
  <dcterms:modified xsi:type="dcterms:W3CDTF">2026-09-08T14:37:14Z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