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m="http://schemas.openxmlformats.org/officeDocument/2006/math" xmlns:r="http://schemas.openxmlformats.org/officeDocument/2006/relationships" xmlns:w="http://schemas.openxmlformats.org/wordprocessingml/2006/main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时钟电路"/>
    <w:p>
      <w:pPr>
        <w:pStyle w:val="Heading1"/>
      </w:pPr>
      <w:r>
        <w:rPr>
          <w:rFonts w:hint="eastAsia" w:eastAsia="黑体"/>
        </w:rPr>
        <w:t xml:space="preserve">时钟电路</w:t>
      </w:r>
    </w:p>
    <w:bookmarkStart w:id="19" w:name="拓扑描述"/>
    <w:p>
      <w:pPr>
        <w:pStyle w:val="Heading2"/>
      </w:pPr>
      <w:r>
        <w:rPr>
          <w:rFonts w:hint="eastAsia" w:eastAsia="黑体"/>
        </w:rPr>
        <w:t xml:space="preserve">拓扑描述</w:t>
      </w:r>
    </w:p>
    <w:p>
      <w:pPr>
        <w:pStyle w:val="FirstParagraph"/>
      </w:pPr>
      <w:r>
        <w:rPr>
          <w:rFonts w:hint="eastAsia" w:eastAsia="黑体"/>
        </w:rPr>
        <w:t xml:space="preserve">向单片机等数字器件提供稳定系统时钟的电路，常见结构有</w:t>
      </w:r>
      <w:r>
        <w:rPr>
          <w:rFonts w:eastAsia="黑体"/>
        </w:rPr>
        <w:t xml:space="preserve"> </w:t>
      </w:r>
      <w:r>
        <w:rPr>
          <w:rFonts w:hint="eastAsia" w:eastAsia="黑体"/>
          <w:b/>
          <w:bCs/>
        </w:rPr>
        <w:t xml:space="preserve">晶振（Crystal）Y1</w:t>
      </w:r>
      <w:r>
        <w:rPr>
          <w:rFonts w:eastAsia="黑体"/>
          <w:b/>
          <w:bCs/>
        </w:rPr>
        <w:t xml:space="preserve"> + </w:t>
      </w:r>
      <w:r>
        <w:rPr>
          <w:rFonts w:hint="eastAsia" w:eastAsia="黑体"/>
          <w:b/>
          <w:bCs/>
        </w:rPr>
        <w:t xml:space="preserve">两个负载电容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的皮尔斯振荡器、</w:t>
      </w:r>
      <w:r>
        <w:rPr>
          <w:rFonts w:hint="eastAsia" w:eastAsia="黑体"/>
          <w:b/>
          <w:bCs/>
        </w:rPr>
        <w:t xml:space="preserve">陶瓷谐振器</w:t>
      </w:r>
      <w:r>
        <w:rPr>
          <w:rFonts w:hint="eastAsia" w:eastAsia="黑体"/>
        </w:rPr>
        <w:t xml:space="preserve">，以及只需外接电阻电容的</w:t>
      </w:r>
      <w:r>
        <w:rPr>
          <w:rFonts w:eastAsia="黑体"/>
        </w:rPr>
        <w:t xml:space="preserve"> </w:t>
      </w:r>
      <w:r>
        <w:rPr>
          <w:rFonts w:eastAsia="黑体"/>
          <w:b/>
          <w:bCs/>
        </w:rPr>
        <w:t xml:space="preserve">RC </w:t>
      </w:r>
      <w:r>
        <w:rPr>
          <w:rFonts w:hint="eastAsia" w:eastAsia="黑体"/>
          <w:b/>
          <w:bCs/>
        </w:rPr>
        <w:t xml:space="preserve">振荡器</w:t>
      </w:r>
      <w:r>
        <w:rPr>
          <w:rFonts w:hint="eastAsia" w:eastAsia="黑体"/>
        </w:rPr>
        <w:t xml:space="preserve">。晶振两脚分接两个对地负载电容，再接入芯片的</w:t>
      </w:r>
      <w:r>
        <w:rPr>
          <w:rFonts w:eastAsia="黑体"/>
        </w:rPr>
        <w:t xml:space="preserve"> XTAL1/XTAL2 </w:t>
      </w:r>
      <w:r>
        <w:rPr>
          <w:rFonts w:hint="eastAsia" w:eastAsia="黑体"/>
        </w:rPr>
        <w:t xml:space="preserve">引脚，构成并联谐振回路。电路共有</w:t>
      </w:r>
      <w:r>
        <w:rPr>
          <w:rFonts w:eastAsia="黑体"/>
        </w:rPr>
        <w:t xml:space="preserve"> 4 </w:t>
      </w:r>
      <w:r>
        <w:rPr>
          <w:rFonts w:hint="eastAsia" w:eastAsia="黑体"/>
        </w:rPr>
        <w:t xml:space="preserve">个关键节点：</w:t>
      </w:r>
      <w:r>
        <w:rPr>
          <w:rFonts w:hint="eastAsia" w:eastAsia="黑体"/>
          <w:b/>
          <w:bCs/>
        </w:rPr>
        <w:t xml:space="preserve">节点①</w:t>
      </w:r>
      <w:r>
        <w:rPr>
          <w:rFonts w:eastAsia="黑体"/>
          <w:b/>
          <w:bCs/>
        </w:rPr>
        <w:t xml:space="preserve"> XTAL1 </w:t>
      </w:r>
      <w:r>
        <w:rPr>
          <w:rFonts w:hint="eastAsia" w:eastAsia="黑体"/>
          <w:b/>
          <w:bCs/>
        </w:rPr>
        <w:t xml:space="preserve">引脚节点</w:t>
      </w:r>
      <w:r>
        <w:rPr>
          <w:rFonts w:hint="eastAsia" w:eastAsia="黑体"/>
        </w:rPr>
        <w:t xml:space="preserve">（晶振一脚、C1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XTAL1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节点②</w:t>
      </w:r>
      <w:r>
        <w:rPr>
          <w:rFonts w:eastAsia="黑体"/>
          <w:b/>
          <w:bCs/>
        </w:rPr>
        <w:t xml:space="preserve"> XTAL2 </w:t>
      </w:r>
      <w:r>
        <w:rPr>
          <w:rFonts w:hint="eastAsia" w:eastAsia="黑体"/>
          <w:b/>
          <w:bCs/>
        </w:rPr>
        <w:t xml:space="preserve">引脚节点</w:t>
      </w:r>
      <w:r>
        <w:rPr>
          <w:rFonts w:hint="eastAsia" w:eastAsia="黑体"/>
        </w:rPr>
        <w:t xml:space="preserve">（晶振另一脚、C2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上端与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XTAL2 </w:t>
      </w:r>
      <w:r>
        <w:rPr>
          <w:rFonts w:hint="eastAsia" w:eastAsia="黑体"/>
        </w:rPr>
        <w:t xml:space="preserve">相连）；</w:t>
      </w:r>
      <w:r>
        <w:rPr>
          <w:rFonts w:hint="eastAsia" w:eastAsia="黑体"/>
          <w:b/>
          <w:bCs/>
        </w:rPr>
        <w:t xml:space="preserve">节点③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地节点</w:t>
      </w:r>
      <w:r>
        <w:rPr>
          <w:rFonts w:eastAsia="黑体"/>
          <w:b/>
          <w:bCs/>
        </w:rPr>
        <w:t xml:space="preserve"> GND</w:t>
      </w:r>
      <w:r>
        <w:rPr>
          <w:rFonts w:hint="eastAsia" w:eastAsia="黑体"/>
        </w:rPr>
        <w:t xml:space="preserve">（C1、C2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下端与</w:t>
      </w:r>
      <w:r>
        <w:rPr>
          <w:rFonts w:eastAsia="黑体"/>
        </w:rPr>
        <w:t xml:space="preserve"> MCU </w:t>
      </w:r>
      <w:r>
        <w:rPr>
          <w:rFonts w:hint="eastAsia" w:eastAsia="黑体"/>
        </w:rPr>
        <w:t xml:space="preserve">地）；</w:t>
      </w:r>
      <w:r>
        <w:rPr>
          <w:rFonts w:hint="eastAsia" w:eastAsia="黑体"/>
          <w:b/>
          <w:bCs/>
        </w:rPr>
        <w:t xml:space="preserve">节点④</w:t>
      </w:r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电源节点</w:t>
      </w:r>
      <w:r>
        <w:rPr>
          <w:rFonts w:eastAsia="黑体"/>
          <w:b/>
          <w:bCs/>
        </w:rP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 w:eastAsia="黑体"/>
        </w:rPr>
        <w:t xml:space="preserve">（芯片振荡电路供电）。</w:t>
      </w:r>
    </w:p>
    <w:p>
      <w:pPr/>
      <w:r>
        <w:rPr>
          <w:rFonts w:hint="eastAsia" w:eastAsia="黑体"/>
        </w:rPr>
        <w:t xml:space="preserve">各元件管脚连接：</w:t>
      </w:r>
      <w:r>
        <w:rPr>
          <w:rFonts w:hint="eastAsia" w:eastAsia="黑体"/>
          <w:b/>
          <w:bCs/>
        </w:rPr>
        <w:t xml:space="preserve">晶振</w:t>
      </w:r>
      <w:r>
        <w:rPr>
          <w:rFonts w:eastAsia="黑体"/>
          <w:b/>
          <w:bCs/>
        </w:rPr>
        <w:t xml:space="preserve"> Y1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一脚接节点①、另一脚接节点②；</w:t>
      </w:r>
      <w:r>
        <w:rPr>
          <w:rFonts w:hint="eastAsia" w:eastAsia="黑体"/>
          <w:b/>
          <w:bCs/>
        </w:rPr>
        <w:t xml:space="preserve">负载电容</w:t>
      </w:r>
      <w:r>
        <w:rPr>
          <w:rFonts w:eastAsia="黑体"/>
          <w:b/>
          <w:bCs/>
        </w:rPr>
        <w:t xml:space="preserve"> C1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一端接节点①、另一端接节点③（GND）；</w:t>
      </w:r>
      <w:r>
        <w:rPr>
          <w:rFonts w:hint="eastAsia" w:eastAsia="黑体"/>
          <w:b/>
          <w:bCs/>
        </w:rPr>
        <w:t xml:space="preserve">负载电容</w:t>
      </w:r>
      <w:r>
        <w:rPr>
          <w:rFonts w:eastAsia="黑体"/>
          <w:b/>
          <w:bCs/>
        </w:rPr>
        <w:t xml:space="preserve"> C2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一端接节点②、另一端接节点③（GND）；</w:t>
      </w:r>
      <w:r>
        <w:rPr>
          <w:rFonts w:eastAsia="黑体"/>
          <w:b/>
          <w:bCs/>
        </w:rPr>
        <w:t xml:space="preserve">MCU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的</w:t>
      </w:r>
      <w:r>
        <w:rPr>
          <w:rFonts w:eastAsia="黑体"/>
        </w:rPr>
        <w:t xml:space="preserve"> XTAL1 </w:t>
      </w:r>
      <w:r>
        <w:rPr>
          <w:rFonts w:hint="eastAsia" w:eastAsia="黑体"/>
        </w:rPr>
        <w:t xml:space="preserve">脚接节点①、XTAL2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脚接节点②、地脚</w:t>
      </w:r>
      <w:r>
        <w:rPr>
          <w:rFonts w:eastAsia="黑体"/>
        </w:rPr>
        <w:t xml:space="preserve"> GND </w:t>
      </w:r>
      <w:r>
        <w:rPr>
          <w:rFonts w:hint="eastAsia" w:eastAsia="黑体"/>
        </w:rPr>
        <w:t xml:space="preserve">接节点③、正电源脚</w:t>
      </w:r>
      <w:r>
        <w:rPr>
          <w:rFonts w:eastAsia="黑体"/>
        </w:rPr>
        <w:t xml:space="preserve"> VCC </w:t>
      </w:r>
      <w:r>
        <w:rPr>
          <w:rFonts w:hint="eastAsia" w:eastAsia="黑体"/>
        </w:rPr>
        <w:t xml:space="preserve">接节点④。两个负载电容通常取相等值，且需满足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num>
          <m:den>
            <m:sSub>
              <m:e>
                <m:r>
                  <m:t>C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C</m:t>
                </m:r>
              </m:e>
              <m:sub>
                <m:r>
                  <m:t>2</m:t>
                </m:r>
              </m:sub>
            </m:sSub>
          </m:den>
        </m:f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a</m:t>
            </m:r>
            <m:r>
              <m:t>y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与晶振标称负载电容匹配，其中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a</m:t>
            </m:r>
            <m:r>
              <m:t>y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为走线与引脚寄生电容（约</w:t>
      </w:r>
      <w:r>
        <w:rPr>
          <w:rFonts w:eastAsia="黑体"/>
        </w:rPr>
        <w:t xml:space="preserve"> </w:t>
      </w:r>
      <m:oMath>
        <m:r>
          <m:t>3</m:t>
        </m:r>
        <m:r>
          <m:rPr>
            <m:sty m:val="p"/>
          </m:rPr>
          <m:t>∼</m:t>
        </m:r>
        <m:r>
          <m:t>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）。芯片内部的反相放大器作为负阻跨接在节点①、②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之间，抵消晶振损耗以维持振荡。</w:t>
      </w:r>
    </w:p>
    <w:p>
      <w:pPr/>
      <w:r>
        <w:rPr>
          <w:rFonts w:hint="eastAsia" w:eastAsia="黑体"/>
        </w:rPr>
        <w:t xml:space="preserve">由此构成晶振在串联谐振频率附近呈感性、与</w:t>
      </w:r>
      <w:r>
        <w:rPr>
          <w:rFonts w:eastAsia="黑体"/>
        </w:rPr>
        <w:t xml:space="preserve"> C1/C2 </w:t>
      </w:r>
      <w:r>
        <w:rPr>
          <w:rFonts w:hint="eastAsia" w:eastAsia="黑体"/>
        </w:rPr>
        <w:t xml:space="preserve">构成并联谐振回路的皮尔斯振荡组态，经芯片内部整形与分频，为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CPU、定时器、通信外设提供统一系统时钟。</w:t>
      </w:r>
    </w:p>
    <w:bookmarkEnd w:id="19"/>
    <w:bookmarkStart w:id="20" w:name="工作原理"/>
    <w:p>
      <w:pPr>
        <w:pStyle w:val="Heading2"/>
      </w:pPr>
      <w:r>
        <w:rPr>
          <w:rFonts w:hint="eastAsia" w:eastAsia="黑体"/>
        </w:rPr>
        <w:t xml:space="preserve">工作原理</w:t>
      </w:r>
    </w:p>
    <w:p>
      <w:pPr>
        <w:pStyle w:val="FirstParagraph"/>
      </w:pPr>
      <w:r>
        <w:rPr>
          <w:rFonts w:hint="eastAsia" w:eastAsia="黑体"/>
        </w:rPr>
        <w:t xml:space="preserve">晶振作为极高</w:t>
      </w:r>
      <w:r>
        <w:rPr>
          <w:rFonts w:eastAsia="黑体"/>
        </w:rPr>
        <w:t xml:space="preserve"> Q </w:t>
      </w:r>
      <w:r>
        <w:rPr>
          <w:rFonts w:hint="eastAsia" w:eastAsia="黑体"/>
        </w:rPr>
        <w:t xml:space="preserve">值的压电谐振器件，在串联谐振频率附近呈现感性，与负载电容构成并联谐振并维持振荡。芯片内部的反相放大器提供负阻以抵消晶振的损耗，使振荡持续；信号再经内部整形与分频得到所需的系统时钟。</w:t>
      </w:r>
    </w:p>
    <w:bookmarkEnd w:id="20"/>
    <w:bookmarkStart w:id="21" w:name="关键计算公式"/>
    <w:p>
      <w:pPr>
        <w:pStyle w:val="Heading2"/>
      </w:pPr>
      <w:r>
        <w:rPr>
          <w:rFonts w:hint="eastAsia" w:eastAsia="黑体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负载电容（两电容串联）：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s</m:t>
              </m:r>
              <m:r>
                <m:t>t</m:t>
              </m:r>
              <m:r>
                <m:t>r</m:t>
              </m:r>
              <m:r>
                <m:t>a</m:t>
              </m:r>
              <m:r>
                <m:t>y</m:t>
              </m:r>
            </m:sub>
          </m:sSub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皮尔斯振荡器增益裕度（负阻条件）：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g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≥</m:t>
          </m:r>
          <m:f>
            <m:fPr>
              <m:type m:val="bar"/>
            </m:fPr>
            <m:num>
              <m:sSub>
                <m:e>
                  <m:r>
                    <m:t>q</m:t>
                  </m:r>
                </m:e>
                <m:sub>
                  <m:r>
                    <m:t>c</m:t>
                  </m:r>
                  <m:r>
                    <m:t>r</m:t>
                  </m:r>
                  <m:r>
                    <m:t>i</m:t>
                  </m:r>
                  <m:r>
                    <m:t>t</m:t>
                  </m:r>
                </m:sub>
              </m:sSub>
            </m:num>
            <m:den>
              <m:r>
                <m:t>E</m:t>
              </m:r>
              <m:r>
                <m:t>S</m:t>
              </m:r>
              <m:r>
                <m:t>R</m:t>
              </m:r>
            </m:den>
          </m:f>
          <m:r>
            <m:rPr>
              <m:sty m:val="p"/>
            </m:rPr>
            <m:t>,</m:t>
          </m:r>
          <m:r>
            <m:t> </m:t>
          </m:r>
          <m:sSub>
            <m:e>
              <m:r>
                <m:t>q</m:t>
              </m:r>
            </m:e>
            <m:sub>
              <m:r>
                <m:t>c</m:t>
              </m:r>
              <m:r>
                <m:t>r</m:t>
              </m:r>
              <m:r>
                <m:t>i</m:t>
              </m:r>
              <m:r>
                <m:t>t</m:t>
              </m:r>
            </m:sub>
          </m:sSub>
          <m:r>
            <m:rPr>
              <m:sty m:val="p"/>
            </m:rPr>
            <m:t>=</m:t>
          </m:r>
          <m:r>
            <m:t>4</m:t>
          </m:r>
          <m:r>
            <m:t> </m:t>
          </m:r>
          <m:r>
            <m:t>E</m:t>
          </m:r>
          <m:r>
            <m:t>S</m:t>
          </m:r>
          <m:r>
            <m:t>R</m:t>
          </m:r>
          <m:r>
            <m:t> 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t>f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</m:oMath>
      </m:oMathPara>
    </w:p>
    <w:p>
      <w:pPr>
        <w:numPr>
          <w:ilvl w:val="0"/>
          <w:numId w:val="1001"/>
        </w:numPr>
      </w:pPr>
      <w:r>
        <w:rPr>
          <w:rFonts w:hint="eastAsia" w:eastAsia="黑体"/>
        </w:rPr>
        <w:t xml:space="preserve">谐振频率（若有外部串联或并联电容微调）：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sSub>
            <m:e>
              <m:r>
                <m:t>f</m:t>
              </m:r>
            </m:e>
            <m:sub>
              <m:r>
                <m:t>s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num>
                <m:den>
                  <m:r>
                    <m:t>2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e>
          </m:d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 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两个负载电容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L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等效负载电容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0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晶振并联（静态）电容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C</m:t>
                  </m:r>
                </m:e>
                <m:sub>
                  <m:r>
                    <m:t>s</m:t>
                  </m:r>
                  <m:r>
                    <m:t>t</m:t>
                  </m:r>
                  <m:r>
                    <m:t>r</m:t>
                  </m:r>
                  <m:r>
                    <m:t>a</m:t>
                  </m:r>
                  <m:r>
                    <m:t>y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布线及引脚寄生电容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F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E</m:t>
              </m:r>
              <m:r>
                <m:t>S</m:t>
              </m:r>
              <m:r>
                <m:t>R</m:t>
              </m:r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晶振等效串联电阻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Ω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f</m:t>
                  </m:r>
                </m:e>
                <m:sub>
                  <m:r>
                    <m:t>s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晶振串联谐振频率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Hz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g</m:t>
                  </m:r>
                </m:e>
                <m:sub>
                  <m:r>
                    <m:t>m</m:t>
                  </m:r>
                </m:sub>
              </m:sSub>
            </m:oMath>
            <w:r>
              <w:rPr>
                <w:rFonts w:eastAsia="黑体"/>
              </w:rP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 w:eastAsia="黑体"/>
              </w:rPr>
              <w:t xml:space="preserve">振荡器跨导</w:t>
            </w:r>
          </w:p>
        </w:tc>
        <w:tc>
          <w:tcPr/>
          <w:p>
            <w:pPr>
              <w:pStyle w:val="Compact"/>
            </w:pPr>
            <w:r>
              <w:rPr>
                <w:rFonts w:eastAsia="黑体"/>
              </w:rPr>
              <w:t xml:space="preserve">S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 w:eastAsia="黑体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负载电容</w:t>
      </w:r>
      <w:r>
        <w:rPr>
          <w:rFonts w:eastAsia="黑体"/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rPr>
          <w:rFonts w:eastAsia="黑体"/>
          <w:b/>
          <w:bCs/>
        </w:rPr>
        <w:t xml:space="preserve">、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rPr>
          <w:rFonts w:eastAsia="黑体"/>
          <w:b/>
          <w:bCs/>
        </w:rPr>
        <w:t xml:space="preserve"> </w:t>
      </w:r>
      <w:r>
        <w:rPr>
          <w:rFonts w:hint="eastAsia" w:eastAsia="黑体"/>
          <w:b/>
          <w:bCs/>
        </w:rPr>
        <w:t xml:space="preserve">增大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增大，起振更稳定，但实际振荡频率略微拉低、起振时间变长。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  <w:b/>
          <w:bCs/>
        </w:rPr>
        <w:t xml:space="preserve">负载电容过小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起振困难、波形畸变，甚至不起振。</w:t>
      </w:r>
    </w:p>
    <w:p>
      <w:pPr>
        <w:pStyle w:val="Compact"/>
        <w:numPr>
          <w:ilvl w:val="0"/>
          <w:numId w:val="1002"/>
        </w:numPr>
      </w:pPr>
      <w:r>
        <w:rPr>
          <w:rFonts w:eastAsia="黑体"/>
          <w:b/>
          <w:bCs/>
        </w:rPr>
        <w:t xml:space="preserve">ESR </w:t>
      </w:r>
      <w:r>
        <w:rPr>
          <w:rFonts w:hint="eastAsia" w:eastAsia="黑体"/>
          <w:b/>
          <w:bCs/>
        </w:rPr>
        <w:t xml:space="preserve">过大（晶振老化/误选型）</w:t>
      </w:r>
      <w:r>
        <w:rPr>
          <w:rFonts w:eastAsia="黑体"/>
        </w:rPr>
        <w:t xml:space="preserve"> </w:t>
      </w:r>
      <w:r>
        <w:rPr>
          <w:rFonts w:eastAsia="黑体"/>
        </w:rPr>
        <w:t xml:space="preserve">→ </w:t>
      </w:r>
      <w:r>
        <w:rPr>
          <w:rFonts w:hint="eastAsia" w:eastAsia="黑体"/>
        </w:rPr>
        <w:t xml:space="preserve">损耗增大，相位裕度不足，振荡不稳定或停振。</w:t>
      </w:r>
    </w:p>
    <w:p>
      <w:pPr>
        <w:pStyle w:val="Compact"/>
        <w:numPr>
          <w:ilvl w:val="0"/>
          <w:numId w:val="1002"/>
        </w:numPr>
      </w:pPr>
      <w:r>
        <w:rPr>
          <w:rFonts w:hint="eastAsia" w:eastAsia="黑体"/>
        </w:rPr>
        <w:t xml:space="preserve">两个负载电容通常取相等，且应包含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走线与引脚寄生电容（约</w:t>
      </w:r>
      <w:r>
        <w:rPr>
          <w:rFonts w:eastAsia="黑体"/>
        </w:rPr>
        <w:t xml:space="preserve"> 3~5 </w:t>
      </w:r>
      <w:r>
        <w:rPr>
          <w:rFonts w:hint="eastAsia" w:eastAsia="黑体"/>
        </w:rPr>
        <w:t xml:space="preserve">pF）的影响。</w:t>
      </w:r>
    </w:p>
    <w:bookmarkEnd w:id="22"/>
    <w:bookmarkStart w:id="23" w:name="典型参数示例"/>
    <w:p>
      <w:pPr>
        <w:pStyle w:val="Heading2"/>
      </w:pPr>
      <w:r>
        <w:rPr>
          <w:rFonts w:hint="eastAsia" w:eastAsia="黑体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eastAsia="黑体"/>
        </w:rPr>
        <w:t xml:space="preserve">12 MHz </w:t>
      </w:r>
      <w:r>
        <w:rPr>
          <w:rFonts w:hint="eastAsia" w:eastAsia="黑体"/>
        </w:rPr>
        <w:t xml:space="preserve">晶振，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22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，寄生电容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s</m:t>
            </m:r>
            <m:r>
              <m:t>t</m:t>
            </m:r>
            <m:r>
              <m:t>r</m:t>
            </m:r>
            <m:r>
              <m:t>a</m:t>
            </m:r>
            <m:r>
              <m:t>y</m:t>
            </m:r>
          </m:sub>
        </m:sSub>
        <m:r>
          <m:rPr>
            <m:sty m:val="p"/>
          </m:rPr>
          <m:t>=</m:t>
        </m:r>
        <m:r>
          <m:t>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hint="eastAsia" w:eastAsia="黑体"/>
        </w:rPr>
        <w:t xml:space="preserve">：</w:t>
      </w:r>
    </w:p>
    <w:p>
      <w:pPr>
        <w:pStyle w:val="Compact"/>
        <w:spacing w:before="120" w:after="120"/>
        <w:jc w:val="center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L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22</m:t>
              </m:r>
              <m:r>
                <m:rPr>
                  <m:sty m:val="p"/>
                </m:rPr>
                <m:t>×</m:t>
              </m:r>
              <m:r>
                <m:t>22</m:t>
              </m:r>
            </m:num>
            <m:den>
              <m:r>
                <m:t>22</m:t>
              </m:r>
              <m:r>
                <m:rPr>
                  <m:sty m:val="p"/>
                </m:rPr>
                <m:t>+</m:t>
              </m:r>
              <m:r>
                <m:t>22</m:t>
              </m:r>
            </m:den>
          </m:f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+</m:t>
          </m:r>
          <m:r>
            <m:t>5</m:t>
          </m:r>
          <m:r>
            <m:rPr>
              <m:sty m:val="p"/>
            </m:rPr>
            <m:t>=</m:t>
          </m:r>
          <m:r>
            <m:t>16</m:t>
          </m:r>
          <m:r>
            <m:t> </m:t>
          </m:r>
          <m:r>
            <m:rPr>
              <m:nor/>
              <m:sty m:val="p"/>
            </m:rPr>
            <m:t>pF</m:t>
          </m:r>
        </m:oMath>
      </m:oMathPara>
    </w:p>
    <w:p>
      <w:pPr>
        <w:pStyle w:val="Compact"/>
        <w:numPr>
          <w:ilvl w:val="0"/>
          <w:numId w:val="1003"/>
        </w:numPr>
      </w:pPr>
      <w:r>
        <w:rPr>
          <w:rFonts w:hint="eastAsia" w:eastAsia="黑体"/>
        </w:rPr>
        <w:t xml:space="preserve">典型</w:t>
      </w:r>
      <w:r>
        <w:rPr>
          <w:rFonts w:eastAsia="黑体"/>
        </w:rPr>
        <w:t xml:space="preserve"> 32.768 kHz </w:t>
      </w:r>
      <w:r>
        <w:rPr>
          <w:rFonts w:hint="eastAsia" w:eastAsia="黑体"/>
        </w:rPr>
        <w:t xml:space="preserve">表晶负载电容为</w:t>
      </w:r>
      <w:r>
        <w:rPr>
          <w:rFonts w:eastAsia="黑体"/>
        </w:rPr>
        <w:t xml:space="preserve"> 12.5 </w:t>
      </w:r>
      <w:r>
        <w:rPr>
          <w:rFonts w:hint="eastAsia" w:eastAsia="黑体"/>
        </w:rPr>
        <w:t xml:space="preserve">pF，配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≈</m:t>
        </m:r>
        <m:r>
          <m:t>15</m:t>
        </m:r>
        <m:r>
          <m:t> </m:t>
        </m:r>
        <m:r>
          <m:rPr>
            <m:nor/>
            <m:sty m:val="p"/>
          </m:rPr>
          <m:t>pF</m:t>
        </m:r>
      </m:oMath>
      <w:r>
        <w:rPr>
          <w:rFonts w:eastAsia="黑体"/>
        </w:rP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 w:eastAsia="黑体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晶振：HC-49S、5032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贴片晶振、3225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贴片晶振。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表晶：32.768</w:t>
      </w:r>
      <w:r>
        <w:rPr>
          <w:rFonts w:eastAsia="黑体"/>
        </w:rPr>
        <w:t xml:space="preserve"> kHz </w:t>
      </w:r>
      <w:r>
        <w:rPr>
          <w:rFonts w:hint="eastAsia" w:eastAsia="黑体"/>
        </w:rPr>
        <w:t xml:space="preserve">圆柱晶振（如</w:t>
      </w:r>
      <w:r>
        <w:rPr>
          <w:rFonts w:eastAsia="黑体"/>
        </w:rPr>
        <w:t xml:space="preserve"> 3×8 </w:t>
      </w:r>
      <w:r>
        <w:rPr>
          <w:rFonts w:hint="eastAsia" w:eastAsia="黑体"/>
        </w:rPr>
        <w:t xml:space="preserve">mm）。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陶瓷谐振器：村田（Murata）CSTCE/CSTCR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系列。</w:t>
      </w:r>
    </w:p>
    <w:p>
      <w:pPr>
        <w:pStyle w:val="Compact"/>
        <w:numPr>
          <w:ilvl w:val="0"/>
          <w:numId w:val="1004"/>
        </w:numPr>
      </w:pPr>
      <w:r>
        <w:rPr>
          <w:rFonts w:hint="eastAsia" w:eastAsia="黑体"/>
        </w:rPr>
        <w:t xml:space="preserve">负载电容：C0G/NP0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贴片电容（精度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±5%）。</w:t>
      </w:r>
    </w:p>
    <w:bookmarkEnd w:id="24"/>
    <w:bookmarkStart w:id="25" w:name="注意事项"/>
    <w:p>
      <w:pPr>
        <w:pStyle w:val="Heading2"/>
      </w:pPr>
      <w:r>
        <w:rPr>
          <w:rFonts w:hint="eastAsia" w:eastAsia="黑体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晶振及负载电容应尽量靠近芯片引脚，走线短而对称，远离大电流开关走线。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负载电容值须与晶振标称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匹配，实际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包含</w:t>
      </w:r>
      <w:r>
        <w:rPr>
          <w:rFonts w:eastAsia="黑体"/>
        </w:rPr>
        <w:t xml:space="preserve"> PCB </w:t>
      </w:r>
      <w:r>
        <w:rPr>
          <w:rFonts w:hint="eastAsia" w:eastAsia="黑体"/>
        </w:rPr>
        <w:t xml:space="preserve">寄生电容，需按数据手册微调。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晶振周围做地隔离环（guard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ring），避免数字噪声串扰。</w:t>
      </w:r>
    </w:p>
    <w:p>
      <w:pPr>
        <w:pStyle w:val="Compact"/>
        <w:numPr>
          <w:ilvl w:val="0"/>
          <w:numId w:val="1005"/>
        </w:numPr>
      </w:pPr>
      <w:r>
        <w:rPr>
          <w:rFonts w:hint="eastAsia" w:eastAsia="黑体"/>
        </w:rPr>
        <w:t xml:space="preserve">上电后应校验起振时间与频率精度，必要时加匹配电阻或减小</w:t>
      </w:r>
      <w:r>
        <w:rPr>
          <w:rFonts w:eastAsia="黑体"/>
        </w:rP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</m:oMath>
      <w:r>
        <w:rPr>
          <w:rFonts w:eastAsia="黑体"/>
        </w:rPr>
        <w:t xml:space="preserve">。</w:t>
      </w:r>
    </w:p>
    <w:bookmarkEnd w:id="25"/>
    <w:bookmarkStart w:id="26" w:name="参考资料"/>
    <w:p>
      <w:pPr>
        <w:pStyle w:val="Heading2"/>
      </w:pPr>
      <w:r>
        <w:rPr>
          <w:rFonts w:hint="eastAsia" w:eastAsia="黑体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Wikipedia: Crystal oscillator。</w:t>
      </w:r>
    </w:p>
    <w:p>
      <w:pPr>
        <w:pStyle w:val="Compact"/>
        <w:numPr>
          <w:ilvl w:val="0"/>
          <w:numId w:val="1006"/>
        </w:numPr>
      </w:pPr>
      <w:r>
        <w:rPr>
          <w:rFonts w:hint="eastAsia" w:eastAsia="黑体"/>
        </w:rPr>
        <w:t xml:space="preserve">《单片机原理及应用》（或</w:t>
      </w:r>
      <w:r>
        <w:rPr>
          <w:rFonts w:eastAsia="黑体"/>
        </w:rPr>
        <w:t xml:space="preserve"> STC / STM32 </w:t>
      </w:r>
      <w:r>
        <w:rPr>
          <w:rFonts w:hint="eastAsia" w:eastAsia="黑体"/>
        </w:rPr>
        <w:t xml:space="preserve">数据手册时钟章节）。</w:t>
      </w:r>
    </w:p>
    <w:p>
      <w:pPr>
        <w:pStyle w:val="Compact"/>
        <w:numPr>
          <w:ilvl w:val="0"/>
          <w:numId w:val="1006"/>
        </w:numPr>
      </w:pPr>
      <w:r>
        <w:rPr>
          <w:rFonts w:eastAsia="黑体"/>
        </w:rPr>
        <w:t xml:space="preserve">TI </w:t>
      </w:r>
      <w:r>
        <w:rPr>
          <w:rFonts w:hint="eastAsia" w:eastAsia="黑体"/>
        </w:rPr>
        <w:t xml:space="preserve">应用笔记：晶体振荡器设计（如</w:t>
      </w:r>
      <w:r>
        <w:rPr>
          <w:rFonts w:eastAsia="黑体"/>
        </w:rPr>
        <w:t xml:space="preserve"> </w:t>
      </w:r>
      <w:r>
        <w:rPr>
          <w:rFonts w:hint="eastAsia" w:eastAsia="黑体"/>
        </w:rPr>
        <w:t xml:space="preserve">SZZA043）。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 w:eastAsia="黑体"/>
          <w:color w:val="555555"/>
          <w:sz w:val="21"/>
        </w:rPr>
        <w:t>材料收集者：杜文杰，WX手机：19519196569，QQ:3478827729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黑体"/>
        <w:sz w:val="18"/>
      </w:rPr>
      <w:t xml:space="preserve">第 </w:t>
    </w:r>
    <w:r>
      <w:rPr>
        <w:rFonts w:eastAsia="黑体"/>
        <w:sz w:val="18"/>
      </w:rPr>
      <w:fldChar w:fldCharType="begin"/>
      <w:instrText xml:space="preserve">PAGE</w:instrText>
      <w:fldChar w:fldCharType="end"/>
    </w:r>
    <w:r>
      <w:rPr>
        <w:rFonts w:eastAsia="黑体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rPr>
          <w:rFonts w:eastAsia="黑体"/>
        </w:rPr>
        <w:continuationSeparator/>
      </w:r>
    </w:p>
  </w:footnote>
  <w:footnote w:type="separator" w:id="-1">
    <w:p>
      <w:r>
        <w:rPr>
          <w:rFonts w:eastAsia="黑体"/>
        </w:rPr>
        <w:separator/>
      </w:r>
    </w:p>
  </w:footnote>
</w:footnotes>
</file>

<file path=word/header1.xml><?xml version="1.0" encoding="utf-8"?>
<w:hdr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 w:eastAsia="黑体"/>
        <w:sz w:val="18"/>
        <w:rFonts w:eastAsia="黑体"/>
        <w:rFonts w:eastAsia="黑体"/>
      </w:rPr>
      <w:t>时钟电路</w:t>
    </w:r>
  </w:p>
</w:hdr>
</file>

<file path=word/numbering.xml><?xml version="1.0" encoding="utf-8"?>
<w:numbering xmlns:mc="http://schemas.openxmlformats.org/markup-compatibility/2006" xmlns:w="http://schemas.openxmlformats.org/wordprocessingml/2006/main" xmlns:m="http://schemas.openxmlformats.org/officeDocument/2006/math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 w:eastAsia="黑体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 w:eastAsia="黑体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 w:eastAsia="黑体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 w:eastAsia="黑体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 w:eastAsia="黑体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 w:eastAsia="黑体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 w:eastAsia="黑体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 w:eastAsia="黑体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 w:eastAsia="黑体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 w:eastAsia="黑体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 w:eastAsia="黑体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 w:eastAsia="黑体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 w:eastAsia="黑体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r="http://schemas.openxmlformats.org/officeDocument/2006/relationships" xmlns:w14="http://schemas.microsoft.com/office/word/2010/wordml" mc:Ignorable="w14">
  <w:docDefaults>
    <w:rPrDefault>
      <w:rPr>
        <w:rFonts w:asciiTheme="minorHAnsi" w:cstheme="minorBidi" w:hAnsiTheme="minorHAnsi" w:eastAsia="黑体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hAnsiTheme="majorHAnsi" w:eastAsia="黑体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hAnsiTheme="majorHAnsi" w:eastAsia="黑体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hAnsiTheme="majorHAnsi" w:eastAsia="黑体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hAnsiTheme="majorHAnsi" w:eastAsia="黑体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hAnsiTheme="majorHAnsi" w:eastAsia="黑体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hAnsiTheme="majorHAnsi" w:eastAsia="黑体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hAnsiTheme="majorHAnsi" w:eastAsia="黑体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hAnsiTheme="majorHAnsi" w:eastAsia="黑体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rFonts w:eastAsia="黑体"/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rFonts w:eastAsia="黑体"/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 w:eastAsia="黑体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 w:eastAsia="黑体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rFonts w:eastAsia="黑体"/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hAnsiTheme="majorHAnsi" w:eastAsia="黑体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hAnsiTheme="majorHAnsi" w:eastAsia="黑体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hAnsiTheme="majorHAnsi" w:eastAsia="黑体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hAnsiTheme="majorHAnsi" w:eastAsia="黑体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hAnsiTheme="majorHAnsi" w:eastAsia="黑体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eastAsia="黑体"/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rFonts w:eastAsia="黑体"/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rFonts w:eastAsia="黑体"/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rFonts w:eastAsia="黑体"/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rFonts w:eastAsia="黑体"/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rFonts w:eastAsia="黑体"/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rFonts w:eastAsia="黑体"/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rFonts w:eastAsia="黑体"/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rFonts w:eastAsia="黑体"/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rFonts w:eastAsia="黑体"/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rFonts w:eastAsia="黑体"/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rFonts w:eastAsia="黑体"/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rFonts w:eastAsia="黑体"/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rFonts w:eastAsia="黑体"/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rFonts w:eastAsia="黑体"/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rFonts w:eastAsia="黑体"/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rFonts w:eastAsia="黑体"/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hAnsiTheme="majorHAnsi" w:eastAsia="黑体"/>
        <w:b/>
        <w:bCs/>
      </w:rPr>
    </w:tblStylePr>
    <w:tblStylePr w:type="lastCol">
      <w:rPr>
        <w:rFonts w:asciiTheme="majorHAnsi" w:cstheme="majorBidi" w:hAnsiTheme="majorHAnsi" w:eastAsia="黑体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eastAsia="黑体"/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rFonts w:eastAsia="黑体"/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rFonts w:eastAsia="黑体"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hAnsiTheme="majorHAnsi" w:eastAsia="黑体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rFonts w:eastAsia="黑体"/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eastAsia="黑体"/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</w:rPr>
    </w:tblStylePr>
    <w:tblStylePr w:type="lastRow">
      <w:rPr>
        <w:rFonts w:eastAsia="黑体"/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hAnsiTheme="majorHAnsi"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rFonts w:eastAsia="黑体"/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rFonts w:eastAsia="黑体"/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rFonts w:eastAsia="黑体"/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rFonts w:eastAsia="黑体"/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rFonts w:eastAsia="黑体"/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rFonts w:eastAsia="黑体"/>
        <w:color w:themeColor="text1" w:val="000000"/>
      </w:rPr>
    </w:tblStylePr>
    <w:tblStylePr w:type="nwCell">
      <w:rPr>
        <w:rFonts w:eastAsia="黑体"/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rFonts w:eastAsia="黑体"/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rFonts w:eastAsia="黑体"/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rFonts w:eastAsia="黑体"/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rFonts w:eastAsia="黑体"/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rFonts w:eastAsia="黑体"/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rFonts w:eastAsia="黑体"/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rFonts w:eastAsia="黑体"/>
        <w:b/>
        <w:bCs/>
      </w:rPr>
    </w:tblStylePr>
    <w:tblStylePr w:type="lastCol">
      <w:rPr>
        <w:rFonts w:eastAsia="黑体"/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rFonts w:eastAsia="黑体"/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rFonts w:eastAsia="黑体"/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rFonts w:eastAsia="黑体"/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rFonts w:eastAsia="黑体"/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rFonts w:eastAsia="黑体"/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rFonts w:eastAsia="黑体"/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rFonts w:eastAsia="黑体"/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rFonts w:eastAsia="黑体"/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rFonts w:eastAsia="黑体"/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rFonts w:eastAsia="黑体"/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rFonts w:eastAsia="黑体"/>
      <w:b/>
      <w:color w:val="007020"/>
    </w:rPr>
  </w:style>
  <w:style w:type="character" w:customStyle="1" w:styleId="DataTypeTok">
    <w:name w:val="DataTypeTok"/>
    <w:basedOn w:val="VerbatimChar"/>
    <w:rPr>
      <w:rFonts w:eastAsia="黑体"/>
      <w:color w:val="902000"/>
    </w:rPr>
  </w:style>
  <w:style w:type="character" w:customStyle="1" w:styleId="DecValTok">
    <w:name w:val="DecValTok"/>
    <w:basedOn w:val="VerbatimChar"/>
    <w:rPr>
      <w:rFonts w:eastAsia="黑体"/>
      <w:color w:val="40a070"/>
    </w:rPr>
  </w:style>
  <w:style w:type="character" w:customStyle="1" w:styleId="BaseNTok">
    <w:name w:val="BaseNTok"/>
    <w:basedOn w:val="VerbatimChar"/>
    <w:rPr>
      <w:rFonts w:eastAsia="黑体"/>
      <w:color w:val="40a070"/>
    </w:rPr>
  </w:style>
  <w:style w:type="character" w:customStyle="1" w:styleId="FloatTok">
    <w:name w:val="FloatTok"/>
    <w:basedOn w:val="VerbatimChar"/>
    <w:rPr>
      <w:rFonts w:eastAsia="黑体"/>
      <w:color w:val="40a070"/>
    </w:rPr>
  </w:style>
  <w:style w:type="character" w:customStyle="1" w:styleId="ConstantTok">
    <w:name w:val="ConstantTok"/>
    <w:basedOn w:val="VerbatimChar"/>
    <w:rPr>
      <w:rFonts w:eastAsia="黑体"/>
      <w:color w:val="880000"/>
    </w:rPr>
  </w:style>
  <w:style w:type="character" w:customStyle="1" w:styleId="CharTok">
    <w:name w:val="CharTok"/>
    <w:basedOn w:val="VerbatimChar"/>
    <w:rPr>
      <w:rFonts w:eastAsia="黑体"/>
      <w:color w:val="4070a0"/>
    </w:rPr>
  </w:style>
  <w:style w:type="character" w:customStyle="1" w:styleId="SpecialCharTok">
    <w:name w:val="SpecialCharTok"/>
    <w:basedOn w:val="VerbatimChar"/>
    <w:rPr>
      <w:rFonts w:eastAsia="黑体"/>
      <w:color w:val="4070a0"/>
    </w:rPr>
  </w:style>
  <w:style w:type="character" w:customStyle="1" w:styleId="StringTok">
    <w:name w:val="StringTok"/>
    <w:basedOn w:val="VerbatimChar"/>
    <w:rPr>
      <w:rFonts w:eastAsia="黑体"/>
      <w:color w:val="4070a0"/>
    </w:rPr>
  </w:style>
  <w:style w:type="character" w:customStyle="1" w:styleId="VerbatimStringTok">
    <w:name w:val="VerbatimStringTok"/>
    <w:basedOn w:val="VerbatimChar"/>
    <w:rPr>
      <w:rFonts w:eastAsia="黑体"/>
      <w:color w:val="4070a0"/>
    </w:rPr>
  </w:style>
  <w:style w:type="character" w:customStyle="1" w:styleId="SpecialStringTok">
    <w:name w:val="SpecialStringTok"/>
    <w:basedOn w:val="VerbatimChar"/>
    <w:rPr>
      <w:rFonts w:eastAsia="黑体"/>
      <w:color w:val="bb6688"/>
    </w:rPr>
  </w:style>
  <w:style w:type="character" w:customStyle="1" w:styleId="ImportTok">
    <w:name w:val="ImportTok"/>
    <w:basedOn w:val="VerbatimChar"/>
    <w:rPr>
      <w:rFonts w:eastAsia="黑体"/>
      <w:b/>
      <w:color w:val="008000"/>
    </w:rPr>
  </w:style>
  <w:style w:type="character" w:customStyle="1" w:styleId="CommentTok">
    <w:name w:val="CommentTok"/>
    <w:basedOn w:val="VerbatimChar"/>
    <w:rPr>
      <w:rFonts w:eastAsia="黑体"/>
      <w:i/>
      <w:color w:val="60a0b0"/>
    </w:rPr>
  </w:style>
  <w:style w:type="character" w:customStyle="1" w:styleId="DocumentationTok">
    <w:name w:val="DocumentationTok"/>
    <w:basedOn w:val="VerbatimChar"/>
    <w:rPr>
      <w:rFonts w:eastAsia="黑体"/>
      <w:i/>
      <w:color w:val="ba2121"/>
    </w:rPr>
  </w:style>
  <w:style w:type="character" w:customStyle="1" w:styleId="AnnotationTok">
    <w:name w:val="AnnotationTok"/>
    <w:basedOn w:val="VerbatimChar"/>
    <w:rPr>
      <w:rFonts w:eastAsia="黑体"/>
      <w:b/>
      <w:i/>
      <w:color w:val="60a0b0"/>
    </w:rPr>
  </w:style>
  <w:style w:type="character" w:customStyle="1" w:styleId="CommentVarTok">
    <w:name w:val="CommentVarTok"/>
    <w:basedOn w:val="VerbatimChar"/>
    <w:rPr>
      <w:rFonts w:eastAsia="黑体"/>
      <w:b/>
      <w:i/>
      <w:color w:val="60a0b0"/>
    </w:rPr>
  </w:style>
  <w:style w:type="character" w:customStyle="1" w:styleId="OtherTok">
    <w:name w:val="OtherTok"/>
    <w:basedOn w:val="VerbatimChar"/>
    <w:rPr>
      <w:rFonts w:eastAsia="黑体"/>
      <w:color w:val="007020"/>
    </w:rPr>
  </w:style>
  <w:style w:type="character" w:customStyle="1" w:styleId="FunctionTok">
    <w:name w:val="FunctionTok"/>
    <w:basedOn w:val="VerbatimChar"/>
    <w:rPr>
      <w:rFonts w:eastAsia="黑体"/>
      <w:color w:val="06287e"/>
    </w:rPr>
  </w:style>
  <w:style w:type="character" w:customStyle="1" w:styleId="VariableTok">
    <w:name w:val="VariableTok"/>
    <w:basedOn w:val="VerbatimChar"/>
    <w:rPr>
      <w:rFonts w:eastAsia="黑体"/>
      <w:color w:val="19177c"/>
    </w:rPr>
  </w:style>
  <w:style w:type="character" w:customStyle="1" w:styleId="ControlFlowTok">
    <w:name w:val="ControlFlowTok"/>
    <w:basedOn w:val="VerbatimChar"/>
    <w:rPr>
      <w:rFonts w:eastAsia="黑体"/>
      <w:b/>
      <w:color w:val="007020"/>
    </w:rPr>
  </w:style>
  <w:style w:type="character" w:customStyle="1" w:styleId="OperatorTok">
    <w:name w:val="OperatorTok"/>
    <w:basedOn w:val="VerbatimChar"/>
    <w:rPr>
      <w:rFonts w:eastAsia="黑体"/>
      <w:color w:val="666666"/>
    </w:rPr>
  </w:style>
  <w:style w:type="character" w:customStyle="1" w:styleId="BuiltInTok">
    <w:name w:val="BuiltInTok"/>
    <w:basedOn w:val="VerbatimChar"/>
    <w:rPr>
      <w:rFonts w:eastAsia="黑体"/>
      <w:color w:val="008000"/>
    </w:rPr>
  </w:style>
  <w:style w:type="character" w:customStyle="1" w:styleId="ExtensionTok">
    <w:name w:val="ExtensionTok"/>
    <w:basedOn w:val="VerbatimChar"/>
    <w:rPr>
      <w:rFonts w:eastAsia="黑体"/>
    </w:rPr>
  </w:style>
  <w:style w:type="character" w:customStyle="1" w:styleId="PreprocessorTok">
    <w:name w:val="PreprocessorTok"/>
    <w:basedOn w:val="VerbatimChar"/>
    <w:rPr>
      <w:rFonts w:eastAsia="黑体"/>
      <w:color w:val="bc7a00"/>
    </w:rPr>
  </w:style>
  <w:style w:type="character" w:customStyle="1" w:styleId="AttributeTok">
    <w:name w:val="AttributeTok"/>
    <w:basedOn w:val="VerbatimChar"/>
    <w:rPr>
      <w:rFonts w:eastAsia="黑体"/>
      <w:color w:val="7d9029"/>
    </w:rPr>
  </w:style>
  <w:style w:type="character" w:customStyle="1" w:styleId="RegionMarkerTok">
    <w:name w:val="RegionMarkerTok"/>
    <w:basedOn w:val="VerbatimChar"/>
    <w:rPr>
      <w:rFonts w:eastAsia="黑体"/>
    </w:rPr>
  </w:style>
  <w:style w:type="character" w:customStyle="1" w:styleId="InformationTok">
    <w:name w:val="InformationTok"/>
    <w:basedOn w:val="VerbatimChar"/>
    <w:rPr>
      <w:rFonts w:eastAsia="黑体"/>
      <w:b/>
      <w:i/>
      <w:color w:val="60a0b0"/>
    </w:rPr>
  </w:style>
  <w:style w:type="character" w:customStyle="1" w:styleId="WarningTok">
    <w:name w:val="WarningTok"/>
    <w:basedOn w:val="VerbatimChar"/>
    <w:rPr>
      <w:rFonts w:eastAsia="黑体"/>
      <w:b/>
      <w:i/>
      <w:color w:val="60a0b0"/>
    </w:rPr>
  </w:style>
  <w:style w:type="character" w:customStyle="1" w:styleId="AlertTok">
    <w:name w:val="AlertTok"/>
    <w:basedOn w:val="VerbatimChar"/>
    <w:rPr>
      <w:rFonts w:eastAsia="黑体"/>
      <w:b/>
      <w:color w:val="ff0000"/>
    </w:rPr>
  </w:style>
  <w:style w:type="character" w:customStyle="1" w:styleId="ErrorTok">
    <w:name w:val="ErrorTok"/>
    <w:basedOn w:val="VerbatimChar"/>
    <w:rPr>
      <w:rFonts w:eastAsia="黑体"/>
      <w:b/>
      <w:color w:val="ff0000"/>
    </w:rPr>
  </w:style>
  <w:style w:type="character" w:customStyle="1" w:styleId="NormalTok">
    <w:name w:val="NormalTok"/>
    <w:basedOn w:val="VerbatimChar"/>
    <w:rPr>
      <w:rFonts w:eastAsia="黑体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黑体"/>
        <a:font script="Hant" typeface="黑体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黑体"/>
        <a:cs typeface=""/>
        <a:font script="Jpan" typeface="ＭＳ 明朝"/>
        <a:font script="Hang" typeface="맑은 고딕"/>
        <a:font script="Hans" typeface="黑体"/>
        <a:font script="Hant" typeface="黑体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时钟电路</dc:title>
  <dc:creator>AI 智能体</dc:creator>
  <cp:keywords/>
  <dcterms:created xsi:type="dcterms:W3CDTF">2026-09-08T14:37:17Z</dcterms:created>
  <dcterms:modified xsi:type="dcterms:W3CDTF">2026-09-08T14:37:17Z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