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流舵型-dac-电路"/>
    <w:p>
      <w:pPr>
        <w:pStyle w:val="Heading1"/>
      </w:pPr>
      <w:r>
        <w:rPr>
          <w:rFonts w:hint="eastAsia" w:eastAsia="黑体"/>
        </w:rPr>
        <w:t xml:space="preserve">电流舵型</w:t>
      </w:r>
      <w:r>
        <w:rPr>
          <w:rFonts w:eastAsia="黑体"/>
        </w:rPr>
        <w:t xml:space="preserve"> DAC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二进制加权或温度计编码的恒流源阵列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差分开关对</w:t>
      </w:r>
      <w:r>
        <w:rPr>
          <w:rFonts w:eastAsia="黑体"/>
          <w:b/>
          <w:bCs/>
        </w:rPr>
        <w:t xml:space="preserve"> </w:t>
      </w:r>
      <m:oMath>
        <m:r>
          <m:t>S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S</m:t>
        </m:r>
        <m:sSub>
          <m:e>
            <m:r>
              <m:t>W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输出负载/阻抗网络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 w:eastAsia="黑体"/>
        </w:rPr>
        <w:t xml:space="preserve">（常配合外接电阻或运放）组成。电路共有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数字码节点</w:t>
      </w:r>
      <w:r>
        <w:rPr>
          <w:rFonts w:hint="eastAsia" w:eastAsia="黑体"/>
        </w:rPr>
        <w:t xml:space="preserve">（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位码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送各差分开关控制端）；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正输出节点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 w:eastAsia="黑体"/>
        </w:rPr>
        <w:t xml:space="preserve">，各开关的正触点汇入）；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负输出节点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，各开关的负触点汇入）；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公共电源节点</w:t>
      </w:r>
      <w:r>
        <w:rPr>
          <w:rFonts w:hint="eastAsia" w:eastAsia="黑体"/>
        </w:rPr>
        <w:t xml:space="preserve">（各恒流源公共端接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参考/地节点</w:t>
      </w:r>
      <w:r>
        <w:rPr>
          <w:rFonts w:hint="eastAsia" w:eastAsia="黑体"/>
        </w:rPr>
        <w:t xml:space="preserve">（恒流源基准设定端与负载下端接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输出电压节点</w:t>
      </w:r>
      <w:r>
        <w:rPr>
          <w:rFonts w:hint="eastAsia" w:eastAsia="黑体"/>
        </w:rPr>
        <w:t xml:space="preserve">（总电流经负载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得到的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各管脚连接：</w:t>
      </w:r>
      <m:oMath>
        <m:r>
          <m:t>S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hint="eastAsia" w:eastAsia="黑体"/>
        </w:rPr>
        <w:t xml:space="preserve">（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黑体"/>
        </w:rPr>
        <w:t xml:space="preserve">）的控制端接节点①中对应位、公共端接恒流源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rPr>
          <w:rFonts w:hint="eastAsia" w:eastAsia="黑体"/>
        </w:rPr>
        <w:t xml:space="preserve">、正触点接节点②（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 w:eastAsia="黑体"/>
        </w:rPr>
        <w:t xml:space="preserve">）、负触点接节点③（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）；</w:t>
      </w: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r>
          <m:t>S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公共端、另一端接节点④（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），其基准设定端接节点⑤；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一端接节点②（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 w:eastAsia="黑体"/>
        </w:rPr>
        <w:t xml:space="preserve">）、另一端接节点⑤（GND），总电流在此转成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 w:eastAsia="黑体"/>
        </w:rPr>
        <w:t xml:space="preserve">；若外接运放转电压，则其反相输入接节点②、同相输入接节点⑤（GND）、输出接节点⑥。</w:t>
      </w:r>
    </w:p>
    <w:p>
      <w:pPr/>
      <w:r>
        <w:rPr>
          <w:rFonts w:hint="eastAsia" w:eastAsia="黑体"/>
        </w:rPr>
        <w:t xml:space="preserve">由此构成”各位恒流源由差分开关舵向正或负输出、各单元电流在输出节点按权重求和、再经负载电阻转成电压”的电流舵型</w:t>
      </w:r>
      <w:r>
        <w:rPr>
          <w:rFonts w:eastAsia="黑体"/>
        </w:rPr>
        <w:t xml:space="preserve"> DAC </w:t>
      </w:r>
      <w:r>
        <w:rPr>
          <w:rFonts w:hint="eastAsia" w:eastAsia="黑体"/>
        </w:rPr>
        <w:t xml:space="preserve">组态，输出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L</m:t>
            </m:r>
            <m:r>
              <m:t>S</m:t>
            </m:r>
            <m:r>
              <m:t>B</m:t>
            </m:r>
          </m:sub>
        </m:sSub>
        <m:r>
          <m:rPr>
            <m:sty m:val="p"/>
          </m:rPr>
          <m:t>⋅</m:t>
        </m:r>
        <m:r>
          <m:t>D</m:t>
        </m:r>
      </m:oMath>
      <w:r>
        <w:rPr>
          <w:rFonts w:hint="eastAsia" w:eastAsia="黑体"/>
        </w:rPr>
        <w:t xml:space="preserve">，是高速</w:t>
      </w:r>
      <w:r>
        <w:rPr>
          <w:rFonts w:eastAsia="黑体"/>
        </w:rPr>
        <w:t xml:space="preserve"> DAC </w:t>
      </w:r>
      <w:r>
        <w:rPr>
          <w:rFonts w:hint="eastAsia" w:eastAsia="黑体"/>
        </w:rPr>
        <w:t xml:space="preserve">的主要结构。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每一位对应的恒流单元由一对差分开关把电流切换到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+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。所有单元的电流在输出节点按权重求和，经输出电阻或运放转换为与数字码成正比的电压/电流。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S</m:t>
              </m:r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D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单位电流：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S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F</m:t>
                  </m:r>
                  <m:r>
                    <m:t>S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输出电压（外接负载电阻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L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满量程电流：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F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S</m:t>
              </m:r>
              <m:r>
                <m:t>B</m:t>
              </m:r>
            </m:sub>
          </m:sSub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输出摆率（大信号建立）：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S</m:t>
                  </m:r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单位（LSB）电流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F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满量程电流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数字输入码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位数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单位电流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t>S</m:t>
            </m:r>
            <m:r>
              <m:t>B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输出幅度增大、速度提升，但功耗与噪声增大。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电压输出幅度增大，但输出摆幅受限、速度变慢。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建立时间缩短，工作速度提高。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位数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增多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分辨率提高，但电流源匹配与版图要求急剧上升。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温度计码分段减少毛刺，但所需单元数增加。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F</m:t>
            </m:r>
            <m:r>
              <m:t>S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L</m:t>
            </m:r>
            <m:r>
              <m:t>S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t>256</m:t>
            </m:r>
          </m:den>
        </m:f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≈</m:t>
        </m:r>
        <m:r>
          <m:t>78.1</m:t>
        </m:r>
        <m:r>
          <m:t> </m:t>
        </m:r>
        <m:r>
          <m:t>μ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、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满量程：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50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高速电流舵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DAC：AD9779（16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</w:t>
      </w:r>
      <w:r>
        <w:rPr>
          <w:rFonts w:eastAsia="黑体"/>
        </w:rPr>
        <w:t xml:space="preserve"> GHz </w:t>
      </w:r>
      <w:r>
        <w:rPr>
          <w:rFonts w:hint="eastAsia" w:eastAsia="黑体"/>
        </w:rPr>
        <w:t xml:space="preserve">级）、AD9744、MAX5885。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视频/通信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DAC：DAC5672。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电流源输出阻抗与匹配决定线性度，需版图对称设计。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输出为电流型，接运放转电压时注意带宽与噪声。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开关切换毛刺（glitch）影响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SFDR，常采用温度计编码或退化处理。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Current steering DAC。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</w:t>
      </w:r>
      <w:r>
        <w:rPr>
          <w:rFonts w:hint="eastAsia" w:eastAsia="黑体"/>
        </w:rPr>
        <w:t xml:space="preserve">产品页：AD9779。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《CMOS </w:t>
      </w:r>
      <w:r>
        <w:rPr>
          <w:rFonts w:hint="eastAsia" w:eastAsia="黑体"/>
        </w:rPr>
        <w:t xml:space="preserve">模拟集成电路设计》（拉扎维）。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电流舵型DAC电路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电流舵型DAC电路</dc:title>
  <dc:creator>AI 智能体</dc:creator>
  <cp:keywords/>
  <dcterms:created xsi:type="dcterms:W3CDTF">2026-09-08T14:37:18Z</dcterms:created>
  <dcterms:modified xsi:type="dcterms:W3CDTF">2026-09-08T14:37:18Z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