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可编程基准源电路"/>
    <w:p>
      <w:pPr>
        <w:pStyle w:val="Heading1"/>
      </w:pPr>
      <w:r>
        <w:rPr>
          <w:rFonts w:hint="eastAsia" w:eastAsia="黑体"/>
        </w:rPr>
        <w:t xml:space="preserve">可编程基准源电路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带隙基准核（或多位</w:t>
      </w:r>
      <w:r>
        <w:rPr>
          <w:rFonts w:eastAsia="黑体"/>
          <w:b/>
          <w:bCs/>
        </w:rPr>
        <w:t xml:space="preserve"> DAC </w:t>
      </w:r>
      <w:r>
        <w:rPr>
          <w:rFonts w:hint="eastAsia" w:eastAsia="黑体"/>
          <w:b/>
          <w:bCs/>
        </w:rPr>
        <w:t xml:space="preserve">基准）U1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数字控制的电阻分压/数字电位计网络</w:t>
      </w:r>
      <w:r>
        <w:rPr>
          <w:rFonts w:eastAsia="黑体"/>
          <w:b/>
          <w:bCs/>
        </w:rPr>
        <w:t xml:space="preserve"> RP1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输出缓冲运算放大器</w:t>
      </w:r>
      <w:r>
        <w:rPr>
          <w:rFonts w:eastAsia="黑体"/>
          <w:b/>
          <w:bCs/>
        </w:rPr>
        <w:t xml:space="preserve"> U2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U1、U2 </w:t>
      </w:r>
      <w:r>
        <w:rPr>
          <w:rFonts w:hint="eastAsia" w:eastAsia="黑体"/>
        </w:rPr>
        <w:t xml:space="preserve">的电源脚）；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U1、U2、RP1 </w:t>
      </w:r>
      <w:r>
        <w:rPr>
          <w:rFonts w:hint="eastAsia" w:eastAsia="黑体"/>
        </w:rPr>
        <w:t xml:space="preserve">下端）；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基础基准节点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输出脚与</w:t>
      </w:r>
      <w:r>
        <w:rPr>
          <w:rFonts w:eastAsia="黑体"/>
        </w:rPr>
        <w:t xml:space="preserve"> RP1 </w:t>
      </w:r>
      <w:r>
        <w:rPr>
          <w:rFonts w:hint="eastAsia" w:eastAsia="黑体"/>
        </w:rPr>
        <w:t xml:space="preserve">上端）；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数字接口节点</w:t>
      </w:r>
      <w:r>
        <w:rPr>
          <w:rFonts w:hint="eastAsia" w:eastAsia="黑体"/>
        </w:rPr>
        <w:t xml:space="preserve">（SPI/I²C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或并行码线，连</w:t>
      </w:r>
      <w:r>
        <w:rPr>
          <w:rFonts w:eastAsia="黑体"/>
        </w:rPr>
        <w:t xml:space="preserve"> RP1 </w:t>
      </w:r>
      <w:r>
        <w:rPr>
          <w:rFonts w:hint="eastAsia" w:eastAsia="黑体"/>
        </w:rPr>
        <w:t xml:space="preserve">的控制/数据脚）；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分压抽头节点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RP1 </w:t>
      </w:r>
      <w:r>
        <w:rPr>
          <w:rFonts w:hint="eastAsia" w:eastAsia="黑体"/>
        </w:rPr>
        <w:t xml:space="preserve">抽头端与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脚）；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脚与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脚）。</w:t>
      </w:r>
    </w:p>
    <w:p>
      <w:pPr/>
      <w:r>
        <w:rPr>
          <w:rFonts w:hint="eastAsia" w:eastAsia="黑体"/>
        </w:rPr>
        <w:t xml:space="preserve">各元件管脚连接：U1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的电源脚接节点①、地脚接节点②、输出脚接节点③；RP1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一端接节点③、另一端接节点②、抽头接节点⑤、控制/数据脚接节点④；U2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接节点①、V−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短接后接节点⑥，构成单位增益缓冲器。数字码经节点④改变</w:t>
      </w:r>
      <w:r>
        <w:rPr>
          <w:rFonts w:eastAsia="黑体"/>
        </w:rPr>
        <w:t xml:space="preserve"> RP1 </w:t>
      </w:r>
      <w:r>
        <w:rPr>
          <w:rFonts w:hint="eastAsia" w:eastAsia="黑体"/>
        </w:rPr>
        <w:t xml:space="preserve">的分压比，从而把基础基准电压按比例分压并经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低阻抗输出。</w:t>
      </w:r>
    </w:p>
    <w:p>
      <w:pPr/>
      <w:r>
        <w:rPr>
          <w:rFonts w:hint="eastAsia" w:eastAsia="黑体"/>
        </w:rPr>
        <w:t xml:space="preserve">由此构成”数字码可编程分压比、运放缓冲输出”的可编程基准组态，输出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⋅</m:t>
        </m:r>
        <m:r>
          <m:t>D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 w:eastAsia="黑体"/>
        </w:rPr>
        <w:t xml:space="preserve">，用数字方式在量程内精确设定参考电压，用于需动态调整基准的场合。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内部产生一个高稳定基础基准电压，数字码改变可编程电阻网络的分压比，再经缓冲输出。输出电压等于基础基准乘以由码决定的比例，从而用数字方式精确设定输出电平。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分辨步长（LSB）：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满量程输出：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增益误差：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增益误差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实际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理想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理想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基础基准电压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数字码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编程位数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S</m:t>
                  </m:r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最小步长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编程位数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步长更细、分辨率提高，但接口与成本增加。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基础基准稳定度提高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全量程输出精度与温漂改善。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增益误差增大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各码点输出成比例偏离，需校准。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缓冲运放带宽/驱动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决定负载能力与建立时间。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4.096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L</m:t>
            </m:r>
            <m:r>
              <m:t>S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4.096</m:t>
            </m:r>
          </m:num>
          <m:den>
            <m:r>
              <m:t>4096</m:t>
            </m:r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2048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4.096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2048</m:t>
            </m:r>
          </m:num>
          <m:den>
            <m:r>
              <m:t>4096</m:t>
            </m:r>
          </m:den>
        </m:f>
        <m:r>
          <m:rPr>
            <m:sty m:val="p"/>
          </m:rPr>
          <m:t>=</m:t>
        </m:r>
        <m:r>
          <m:t>2.048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可编程基准：AD5231（数字电位计）、MCP4725（可编程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作基准）、LTC2620。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带微调基准：REF50xx（带</w:t>
      </w:r>
      <w:r>
        <w:rPr>
          <w:rFonts w:eastAsia="黑体"/>
        </w:rPr>
        <w:t xml:space="preserve"> SPI </w:t>
      </w:r>
      <w:r>
        <w:rPr>
          <w:rFonts w:hint="eastAsia" w:eastAsia="黑体"/>
        </w:rPr>
        <w:t xml:space="preserve">微调功能）。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编程码与输出电压的对应关系需查阅数据手册确认极性范围。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输出毛刺在码切换时可能产生，需滤波或屏蔽关键转换时刻。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数字接口噪声可能耦合到模拟输出，需良好地去耦与布局。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</w:t>
      </w:r>
      <w:r>
        <w:rPr>
          <w:rFonts w:hint="eastAsia" w:eastAsia="黑体"/>
        </w:rPr>
        <w:t xml:space="preserve">产品页：AD5231。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Microchip </w:t>
      </w:r>
      <w:r>
        <w:rPr>
          <w:rFonts w:hint="eastAsia" w:eastAsia="黑体"/>
        </w:rPr>
        <w:t xml:space="preserve">产品页：MCP4725。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Voltage reference。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可编程基准源电路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可编程基准源电路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