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型-led-驱动电路"/>
    <w:p>
      <w:pPr>
        <w:pStyle w:val="Heading1"/>
      </w:pPr>
      <w:r>
        <w:rPr>
          <w:rFonts w:hint="eastAsia" w:eastAsia="黑体"/>
        </w:rPr>
        <w:t xml:space="preserve">开关型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 </w:t>
      </w:r>
      <w:r>
        <w:rPr>
          <w:rFonts w:hint="eastAsia" w:eastAsia="黑体"/>
          <w:b/>
          <w:bCs/>
        </w:rPr>
        <w:t xml:space="preserve">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续流二极管（或同步整流管）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电流反馈控制</w:t>
      </w:r>
      <w:r>
        <w:rPr>
          <w:rFonts w:eastAsia="黑体"/>
          <w:b/>
          <w:bCs/>
        </w:rPr>
        <w:t xml:space="preserve"> IC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变换驱动网络，按输入输出关系分为降压（Buck）、升压（Boost）与升降压（Buck-Boost），此处以最经典的降压（Buck）为例。电路共有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（输入电源正极与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SW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（输入电源负极、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下端、采样电阻与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的栅极驱动输出、D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接节点①输入正端、S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接节点②开关节点；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一端接节点②开关节点、另一端接节点③输出节点；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阳极接节点④地、阴极接节点②开关节点；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一端接节点③输出节点、另一端接节点④地；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一端接节点④地、另一端串接于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阴极回路（其上的采样电压送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采样端）；</w:t>
      </w:r>
      <w:r>
        <w:rPr>
          <w:rFonts w:eastAsia="黑体"/>
          <w:b/>
          <w:bCs/>
        </w:rPr>
        <w:t xml:space="preserve">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阳极接节点③输出节点、阴极经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接节点④地；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的栅极驱动输出接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G、电流采样输入接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、电源与地接节点①输入正端与节点④地。</w:t>
      </w:r>
    </w:p>
    <w:p>
      <w:pPr/>
      <w:r>
        <w:rPr>
          <w:rFonts w:hint="eastAsia" w:eastAsia="黑体"/>
        </w:rPr>
        <w:t xml:space="preserve">由此构成”降压（Buck）型开关恒流”组态：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高频通断使电感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储能与释能，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关断时为电感电流提供续流回路，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平滑输出；控制环由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检测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电流并与基准比较，调节占空比使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恒定，实现高效恒流驱动大功率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LED，效率远高于线性方案。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开关管周期性通断，使电感在一个开关周期内储能与释能，配合续流二极管把能量平稳传递到负载；控制环检测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电流并与基准比较，调节占空比以维持恒流输出。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Buck </w:t>
      </w:r>
      <w:r>
        <w:rPr>
          <w:rFonts w:hint="eastAsia" w:eastAsia="黑体"/>
        </w:rPr>
        <w:t xml:space="preserve">占空比（连续模式理想）：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占空比（连续模式理想）：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纹波电流（Buck）：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电感伏秒平衡（Buck）：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输出恒流设定：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输出电压（LED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串压降）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恒流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Buck </w:t>
      </w:r>
      <w:r>
        <w:rPr>
          <w:rFonts w:hint="eastAsia" w:eastAsia="黑体"/>
        </w:rPr>
        <w:t xml:space="preserve">输出电压/电流增大（Boost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则升压比增大）。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L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纹波电流减小，但瞬态响应变差、体积增大。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纹波减小、电感可做大减小，但开关损耗增大。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LED </w:t>
      </w:r>
      <w:r>
        <w:rPr>
          <w:rFonts w:hint="eastAsia" w:eastAsia="黑体"/>
        </w:rPr>
        <w:t xml:space="preserve">恒流电流增大。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Buck：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颗</w:t>
      </w:r>
      <w:r>
        <w:rPr>
          <w:rFonts w:eastAsia="黑体"/>
        </w:rPr>
        <w:t xml:space="preserve"> 3 V </w:t>
      </w:r>
      <w:r>
        <w:rPr>
          <w:rFonts w:hint="eastAsia" w:eastAsia="黑体"/>
        </w:rPr>
        <w:t xml:space="preserve">LED）：</w:t>
      </w:r>
      <m:oMath>
        <m:r>
          <m:t>D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=</m:t>
        </m:r>
        <m:r>
          <m:t>0.75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Buck：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33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/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0.34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Buck </w:t>
      </w: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IC：LM3404、PT4115、AL8860、MP2489。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IC：TPS61165、LM3410、AL3353。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MOSFET / </w:t>
      </w:r>
      <w:r>
        <w:rPr>
          <w:rFonts w:hint="eastAsia" w:eastAsia="黑体"/>
        </w:rPr>
        <w:t xml:space="preserve">肖特基续流管：BSS138、MBR0540。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电感需注意饱和电流与额定电流余量；续流二极管需要足够的反向耐压与高频特性。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输出纹波电流不可超过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规格；过大的纹波会加速光衰。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合理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布局（功率回路小、地平面完整）以降低</w:t>
      </w:r>
      <w:r>
        <w:rPr>
          <w:rFonts w:eastAsia="黑体"/>
        </w:rPr>
        <w:t xml:space="preserve"> EMI。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占空比极端（过小/过大）时控制环易不稳定，需校核环路补偿。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 converter / Boost converter。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LM3404、PT4115、TPS61165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开关型LED驱动电路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开关型LED驱动电路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