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栅极驱动电路"/>
    <w:p>
      <w:pPr>
        <w:pStyle w:val="Heading1"/>
      </w:pPr>
      <w:r>
        <w:rPr>
          <w:rFonts w:hint="eastAsia" w:eastAsia="黑体"/>
        </w:rPr>
        <w:t xml:space="preserve">半桥栅极驱动电路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高侧驱动器</w:t>
      </w:r>
      <w:r>
        <w:rPr>
          <w:rFonts w:eastAsia="黑体"/>
          <w:b/>
          <w:bCs/>
        </w:rPr>
        <w:t xml:space="preserve"> U_H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低侧驱动器</w:t>
      </w:r>
      <w:r>
        <w:rPr>
          <w:rFonts w:eastAsia="黑体"/>
          <w:b/>
          <w:bCs/>
        </w:rPr>
        <w:t xml:space="preserve"> U_L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高侧功率</w:t>
      </w:r>
      <w:r>
        <w:rPr>
          <w:rFonts w:eastAsia="黑体"/>
          <w:b/>
          <w:bCs/>
        </w:rPr>
        <w:t xml:space="preserve"> MOSFET Q_H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低侧功率</w:t>
      </w:r>
      <w:r>
        <w:rPr>
          <w:rFonts w:eastAsia="黑体"/>
          <w:b/>
          <w:bCs/>
        </w:rPr>
        <w:t xml:space="preserve"> MOSFET Q_L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组成，配自举二极管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与自举电容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为高侧驱动器供电。电路共有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Q_H </w:t>
      </w:r>
      <w:r>
        <w:rPr>
          <w:rFonts w:hint="eastAsia" w:eastAsia="黑体"/>
        </w:rPr>
        <w:t xml:space="preserve">漏极）；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SW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Q_H </w:t>
      </w:r>
      <w:r>
        <w:rPr>
          <w:rFonts w:hint="eastAsia" w:eastAsia="黑体"/>
        </w:rPr>
        <w:t xml:space="preserve">源极、Q_L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漏极、U_H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的浮动地脚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Q_L </w:t>
      </w:r>
      <w:r>
        <w:rPr>
          <w:rFonts w:hint="eastAsia" w:eastAsia="黑体"/>
        </w:rPr>
        <w:t xml:space="preserve">源极、U_L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地脚与低压电源地）；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U_L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浮地电源节点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U_H </w:t>
      </w:r>
      <w:r>
        <w:rPr>
          <w:rFonts w:hint="eastAsia" w:eastAsia="黑体"/>
        </w:rPr>
        <w:t xml:space="preserve">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高侧栅极节点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U_H </w:t>
      </w:r>
      <w:r>
        <w:rPr>
          <w:rFonts w:hint="eastAsia" w:eastAsia="黑体"/>
        </w:rPr>
        <w:t xml:space="preserve">输出脚与</w:t>
      </w:r>
      <w:r>
        <w:rPr>
          <w:rFonts w:eastAsia="黑体"/>
        </w:rPr>
        <w:t xml:space="preserve"> Q_H </w:t>
      </w:r>
      <w:r>
        <w:rPr>
          <w:rFonts w:hint="eastAsia" w:eastAsia="黑体"/>
        </w:rPr>
        <w:t xml:space="preserve">栅极）；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低侧栅极节点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U_L </w:t>
      </w:r>
      <w:r>
        <w:rPr>
          <w:rFonts w:hint="eastAsia" w:eastAsia="黑体"/>
        </w:rPr>
        <w:t xml:space="preserve">输出脚与</w:t>
      </w:r>
      <w:r>
        <w:rPr>
          <w:rFonts w:eastAsia="黑体"/>
        </w:rPr>
        <w:t xml:space="preserve"> Q_L </w:t>
      </w:r>
      <w:r>
        <w:rPr>
          <w:rFonts w:hint="eastAsia" w:eastAsia="黑体"/>
        </w:rPr>
        <w:t xml:space="preserve">栅极）；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U_H、U_L </w:t>
      </w:r>
      <w:r>
        <w:rPr>
          <w:rFonts w:hint="eastAsia" w:eastAsia="黑体"/>
        </w:rPr>
        <w:t xml:space="preserve">的输入脚）。</w:t>
      </w:r>
    </w:p>
    <w:p>
      <w:pPr/>
      <w:r>
        <w:rPr>
          <w:rFonts w:hint="eastAsia" w:eastAsia="黑体"/>
        </w:rPr>
        <w:t xml:space="preserve">各元件管脚连接：Q_H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接节点⑥；Q_L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接节点③、栅极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接节点⑦；U_H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的供电脚</w:t>
      </w:r>
      <w:r>
        <w:rPr>
          <w:rFonts w:eastAsia="黑体"/>
        </w:rPr>
        <w:t xml:space="preserve"> VB </w:t>
      </w:r>
      <w:r>
        <w:rPr>
          <w:rFonts w:hint="eastAsia" w:eastAsia="黑体"/>
        </w:rPr>
        <w:t xml:space="preserve">接节点⑤、浮动地脚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接节点②、输出脚</w:t>
      </w:r>
      <w:r>
        <w:rPr>
          <w:rFonts w:eastAsia="黑体"/>
        </w:rPr>
        <w:t xml:space="preserve"> HO </w:t>
      </w:r>
      <w:r>
        <w:rPr>
          <w:rFonts w:hint="eastAsia" w:eastAsia="黑体"/>
        </w:rPr>
        <w:t xml:space="preserve">接节点⑥、输入脚接节点⑧、地脚接其逻辑地；U_L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的供电脚接节点④、地脚接节点③、输出脚</w:t>
      </w:r>
      <w:r>
        <w:rPr>
          <w:rFonts w:eastAsia="黑体"/>
        </w:rPr>
        <w:t xml:space="preserve"> LO </w:t>
      </w:r>
      <w:r>
        <w:rPr>
          <w:rFonts w:hint="eastAsia" w:eastAsia="黑体"/>
        </w:rPr>
        <w:t xml:space="preserve">接节点⑦、输入脚接节点⑧；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阳极接节点④、阴极接节点⑤；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一端接节点②、另一端接节点⑤。当下管导通把</w:t>
      </w:r>
      <w:r>
        <w:rPr>
          <w:rFonts w:eastAsia="黑体"/>
        </w:rPr>
        <w:t xml:space="preserve"> SW </w:t>
      </w:r>
      <w:r>
        <w:rPr>
          <w:rFonts w:hint="eastAsia" w:eastAsia="黑体"/>
        </w:rPr>
        <w:t xml:space="preserve">拉向地时，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充电，为悬浮的高侧驱动器提供高于源极的供电。</w:t>
      </w:r>
    </w:p>
    <w:p>
      <w:pPr/>
      <w:r>
        <w:rPr>
          <w:rFonts w:hint="eastAsia" w:eastAsia="黑体"/>
        </w:rPr>
        <w:t xml:space="preserve">由此构成”高低侧互补驱动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自举浮地供电”的半桥栅极驱动组态，驱动直流母线供电的上下管互补导通，广泛用于同步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Buck、半桥逆变器与电机驱动，上下管驱动信号之间须保留死区时间以防直通。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信号控制上下管交替导通：上管导通时把开关节点拉向母线电压，下管导通时拉向地。为避免直通，两管驱动信号之间必须保留死区时间。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自举电容充电电压（高侧浮动驱动）：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所需自举电容近似：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开关节点电压摆率：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t>o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死区时间下限：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直通保护裕量：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高侧栅极电荷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死区时间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开关节点电压摆率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死区时间过短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可能上下管直通，烧毁器件。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死区时间过长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体二极管续流时间变长，损耗增大。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高侧驱动电压跌落，上管导通不充分。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开关节点寄生电感大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振铃加剧、EMI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恶化。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11.1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半桥驱动：IR2110、IR2104、UCC27714、NCP5106。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集成半桥（驱动+功率）：IR2106、L6384。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功率管：IRF540（教学）、SIR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系列（大电流）。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死区时间必须根据器件关断/开通延迟实测设定，避免直通。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自举二极管要用快恢复型（如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UF4007），二极管反向电压需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母线电压。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高侧驱动地（VB/VS）走线要短，开关节点环路面积尽量小。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大功率场合注意负瞬态电压对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端的影响，必要时加钳位。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Infineon </w:t>
      </w:r>
      <w:r>
        <w:rPr>
          <w:rFonts w:hint="eastAsia" w:eastAsia="黑体"/>
        </w:rPr>
        <w:t xml:space="preserve">AN-978（IR2110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应用笔记：自举供电原理）。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SLUA887（半桥自举电容计算）。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