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gbt-栅极驱动电路"/>
    <w:p>
      <w:pPr>
        <w:pStyle w:val="Heading1"/>
      </w:pPr>
      <w:r>
        <w:rPr>
          <w:rFonts w:eastAsia="黑体"/>
        </w:rPr>
        <w:t xml:space="preserve">IGBT </w:t>
      </w:r>
      <w:r>
        <w:rPr>
          <w:rFonts w:hint="eastAsia" w:eastAsia="黑体"/>
        </w:rPr>
        <w:t xml:space="preserve">栅极驱动电路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栅极驱动芯片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（Gate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Driver）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栅极-发射极下拉电阻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正/负偏置电源（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IGBT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栅极节点</w:t>
      </w:r>
      <w:r>
        <w:rPr>
          <w:rFonts w:eastAsia="黑体"/>
          <w:b/>
          <w:bCs/>
        </w:rPr>
        <w:t xml:space="preserve"> G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另一端、IGBT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</w:t>
      </w:r>
      <w:r>
        <w:rPr>
          <w:rFonts w:eastAsia="黑体"/>
        </w:rPr>
        <w:t xml:space="preserve"> G、</w:t>
      </w:r>
      <m:oMath>
        <m:sSub>
          <m:e>
            <m:r>
              <m:t>R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发射极节点</w:t>
      </w:r>
      <w:r>
        <w:rPr>
          <w:rFonts w:eastAsia="黑体"/>
          <w:b/>
          <w:bCs/>
        </w:rPr>
        <w:t xml:space="preserve"> E</w:t>
      </w:r>
      <w:r>
        <w:rPr>
          <w:rFonts w:hint="eastAsia" w:eastAsia="黑体"/>
        </w:rPr>
        <w:t xml:space="preserve">（IGBT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</w:t>
      </w:r>
      <w:r>
        <w:rPr>
          <w:rFonts w:eastAsia="黑体"/>
        </w:rPr>
        <w:t xml:space="preserve"> E、</w:t>
      </w:r>
      <m:oMath>
        <m:sSub>
          <m:e>
            <m:r>
              <m:t>R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返回端相连，为栅极驱动基准）；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正偏置节点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正电源脚）；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负偏置节点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负电源脚，作负压关断用）。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输出端接节点①、正电源脚接节点④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、负电源脚接节点⑤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、返回端接节点③发射极节点；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一端接节点①驱动输出节点、另一端接节点②栅极节点；</w:t>
      </w:r>
      <m:oMath>
        <m:sSub>
          <m:e>
            <m:r>
              <m:t>R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一端接节点②栅极节点、另一端接节点③发射极节点；</w:t>
      </w:r>
      <w:r>
        <w:rPr>
          <w:rFonts w:eastAsia="黑体"/>
          <w:b/>
          <w:bCs/>
        </w:rPr>
        <w:t xml:space="preserve">IGBT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接节点②栅极节点、C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接功率母线（集电极接电源/负载侧）、E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接节点③发射极节点。</w:t>
      </w:r>
    </w:p>
    <w:p>
      <w:pPr/>
      <w:r>
        <w:rPr>
          <w:rFonts w:hint="eastAsia" w:eastAsia="黑体"/>
        </w:rPr>
        <w:t xml:space="preserve">由此构成”驱动芯片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栅极电阻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栅源（发射极）下拉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正/负偏置”的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栅极驱动组态：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把控制器的低功率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信号放大为大电流驱动，经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对栅极电容充放电使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在正压（开通）与关断电位间快速切换，控制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导通与关断，</w:t>
      </w:r>
      <m:oMath>
        <m:sSub>
          <m:e>
            <m:r>
              <m:t>R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防止栅极浮空，负偏置抑制米勒效应误开通。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开通时驱动芯片向栅极电容充电，使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上升到阈值电压以上，IGBT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导通；关断时通过栅极电阻放电（或负压拉低），使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降至阈值以下，IGBT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关断。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控制充放电电流，从而调节开关速度。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栅极峰值驱动电流：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栅极充放电时间常数：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sSub>
            <m:e>
              <m:r>
                <m:t>C</m:t>
              </m:r>
            </m:e>
            <m:sub>
              <m:r>
                <m:t>i</m:t>
              </m:r>
              <m:r>
                <m:t>e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栅极驱动所需电荷：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e</m:t>
              </m:r>
              <m:r>
                <m:t>s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驱动平均功率：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E</m:t>
              </m:r>
            </m:sub>
          </m:sSub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米勒平台/开关时间近似：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∝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E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栅极总电荷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栅极驱动摆幅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峰值驱动电流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开关速度变慢、EMI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减小，但开关损耗增大、结温上升。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开关加快、损耗降低，但振铃、过冲和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导通压降降低、开通加剧，过高有栅极击穿风险。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适当负关断电压可防止米勒效应引起的误开通。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G</m:t>
            </m:r>
            <m:r>
              <m:t>E</m:t>
            </m:r>
          </m:sub>
        </m:sSub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rPr>
              <m:sty m:val="p"/>
            </m:rPr>
            <m:t>×</m:t>
          </m:r>
          <m:r>
            <m:t>15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0.03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i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τ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40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驱动芯片：HCPL-316J（A316J）、TLP350、IR2110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高边/低边集成：1ED020I12-F、UCC21520。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IGBT：IKW40N120、IRG4PC50U、英飞凌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三菱系列模块。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栅极回路应短而粗、紧邻器件，减小寄生电感以防振铃。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集电极快速</w:t>
      </w:r>
      <w:r>
        <w:rPr>
          <w:rFonts w:eastAsia="黑体"/>
        </w:rPr>
        <w:t xml:space="preserve"> dv/dt </w:t>
      </w:r>
      <w:r>
        <w:rPr>
          <w:rFonts w:hint="eastAsia" w:eastAsia="黑体"/>
        </w:rPr>
        <w:t xml:space="preserve">会经米勒电容耦合漏电，必要时加负偏置或箱位。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驱动芯片供电需去耦，隔离驱动注意原副边隔离耐压。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死区时间需大于器件关断时间，防止桥臂直通。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Insulated-gate bipolar transistor。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英飞凌应用笔记：IGBT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栅极驱动设计。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/ </w:t>
      </w:r>
      <w:r>
        <w:rPr>
          <w:rFonts w:hint="eastAsia" w:eastAsia="黑体"/>
        </w:rPr>
        <w:t xml:space="preserve">ADI：隔离式栅极驱动应用笔记。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IGBT栅极驱动电路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IGBT栅极驱动电路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