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磁敏传感器电路"/>
    <w:p>
      <w:pPr>
        <w:pStyle w:val="Heading1"/>
      </w:pPr>
      <w:r>
        <w:rPr>
          <w:rFonts w:hint="eastAsia" w:eastAsia="黑体"/>
        </w:rPr>
        <w:t xml:space="preserve">磁敏传感器电路</w:t>
      </w:r>
    </w:p>
    <w:bookmarkStart w:id="19" w:name="拓扑描述"/>
    <w:p>
      <w:pPr>
        <w:pStyle w:val="Heading2"/>
      </w:pPr>
      <w:r>
        <w:rPr>
          <w:rFonts w:hint="eastAsia" w:eastAsia="黑体"/>
        </w:rPr>
        <w:t xml:space="preserve">拓扑描述</w:t>
      </w:r>
    </w:p>
    <w:p>
      <w:pPr>
        <w:pStyle w:val="FirstParagraph"/>
      </w:pPr>
      <w:r>
        <w:rPr>
          <w:rFonts w:hint="eastAsia" w:eastAsia="黑体"/>
        </w:rPr>
        <w:t xml:space="preserve">由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磁敏元件（霍尔元件，或磁阻</w:t>
      </w:r>
      <w:r>
        <w:rPr>
          <w:rFonts w:eastAsia="黑体"/>
          <w:b/>
          <w:bCs/>
        </w:rPr>
        <w:t xml:space="preserve"> MR/AMR/GMR </w:t>
      </w:r>
      <w:r>
        <w:rPr>
          <w:rFonts w:hint="eastAsia" w:eastAsia="黑体"/>
          <w:b/>
          <w:bCs/>
        </w:rPr>
        <w:t xml:space="preserve">元件、磁簧开关）</w:t>
      </w:r>
      <w:r>
        <w:rPr>
          <w:rFonts w:eastAsia="黑体"/>
        </w:rPr>
        <w:t xml:space="preserve">、</w:t>
      </w:r>
      <w:r>
        <w:rPr>
          <w:rFonts w:hint="eastAsia" w:eastAsia="黑体"/>
          <w:b/>
          <w:bCs/>
        </w:rPr>
        <w:t xml:space="preserve">偏置/驱动电路（恒流/恒压偏置及设定电阻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rPr>
          <w:rFonts w:hint="eastAsia" w:eastAsia="黑体"/>
          <w:b/>
          <w:bCs/>
        </w:rPr>
        <w:t xml:space="preserve">）</w:t>
      </w:r>
      <w:r>
        <w:rPr>
          <w:rFonts w:eastAsia="黑体"/>
        </w:rPr>
        <w:t xml:space="preserve">、</w:t>
      </w:r>
      <w:r>
        <w:rPr>
          <w:rFonts w:hint="eastAsia" w:eastAsia="黑体"/>
          <w:b/>
          <w:bCs/>
        </w:rPr>
        <w:t xml:space="preserve">放大/比较电路（差分放大器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A1、增益与失调/参考电阻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R</m:t>
            </m:r>
          </m:e>
          <m:sub>
            <m:r>
              <m:t>3</m:t>
            </m:r>
          </m:sub>
        </m:sSub>
      </m:oMath>
      <w:r>
        <w:rPr>
          <w:rFonts w:hint="eastAsia" w:eastAsia="黑体"/>
          <w:b/>
          <w:bCs/>
        </w:rPr>
        <w:t xml:space="preserve">）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与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输出接口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组成。电路共有</w:t>
      </w:r>
      <w:r>
        <w:rPr>
          <w:rFonts w:eastAsia="黑体"/>
        </w:rPr>
        <w:t xml:space="preserve"> 5 </w:t>
      </w:r>
      <w:r>
        <w:rPr>
          <w:rFonts w:hint="eastAsia" w:eastAsia="黑体"/>
        </w:rPr>
        <w:t xml:space="preserve">个关键节点：</w:t>
      </w:r>
      <w:r>
        <w:rPr>
          <w:rFonts w:hint="eastAsia" w:eastAsia="黑体"/>
          <w:b/>
          <w:bCs/>
        </w:rPr>
        <w:t xml:space="preserve">节点①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偏置电流节点</w:t>
      </w:r>
      <w:r>
        <w:rPr>
          <w:rFonts w:hint="eastAsia" w:eastAsia="黑体"/>
        </w:rPr>
        <w:t xml:space="preserve">（为霍尔元件提供偏置电流</w:t>
      </w:r>
      <w:r>
        <w:rPr>
          <w:rFonts w:eastAsia="黑体"/>
        </w:rPr>
        <w:t xml:space="preserve"> </w:t>
      </w:r>
      <m:oMath>
        <m:r>
          <m:t>I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的注入端）；</w:t>
      </w:r>
      <w:r>
        <w:rPr>
          <w:rFonts w:hint="eastAsia" w:eastAsia="黑体"/>
          <w:b/>
          <w:bCs/>
        </w:rPr>
        <w:t xml:space="preserve">节点②/③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霍尔输出差分节点</w:t>
      </w:r>
      <w:r>
        <w:rPr>
          <w:rFonts w:hint="eastAsia" w:eastAsia="黑体"/>
        </w:rPr>
        <w:t xml:space="preserve">（霍尔元件两侧输出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H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的上、下端，接</w:t>
      </w:r>
      <w:r>
        <w:rPr>
          <w:rFonts w:eastAsia="黑体"/>
        </w:rPr>
        <w:t xml:space="preserve"> A1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IN+ </w:t>
      </w:r>
      <w:r>
        <w:rPr>
          <w:rFonts w:hint="eastAsia" w:eastAsia="黑体"/>
        </w:rPr>
        <w:t xml:space="preserve">与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IN−）；</w:t>
      </w:r>
      <w:r>
        <w:rPr>
          <w:rFonts w:hint="eastAsia" w:eastAsia="黑体"/>
          <w:b/>
          <w:bCs/>
        </w:rPr>
        <w:t xml:space="preserve">节点④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参考/失调节点</w:t>
      </w:r>
      <w:r>
        <w:rPr>
          <w:rFonts w:hint="eastAsia" w:eastAsia="黑体"/>
        </w:rPr>
        <w:t xml:space="preserve">（A1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REF/调零端子与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3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的基准点）；</w:t>
      </w:r>
      <w:r>
        <w:rPr>
          <w:rFonts w:hint="eastAsia" w:eastAsia="黑体"/>
          <w:b/>
          <w:bCs/>
        </w:rPr>
        <w:t xml:space="preserve">节点⑤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输出节点</w:t>
      </w:r>
      <w:r>
        <w:rPr>
          <w:rFonts w:hint="eastAsia" w:eastAsia="黑体"/>
        </w:rPr>
        <w:t xml:space="preserve">（A1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的输出端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OUT，输出与磁场成比例的模拟电压或经比较的开关量）。</w:t>
      </w:r>
    </w:p>
    <w:p>
      <w:pPr/>
      <w:r>
        <w:rPr>
          <w:rFonts w:hint="eastAsia" w:eastAsia="黑体"/>
        </w:rPr>
        <w:t xml:space="preserve">各元件管脚连接：</w:t>
      </w:r>
      <w:r>
        <w:rPr>
          <w:rFonts w:hint="eastAsia" w:eastAsia="黑体"/>
          <w:b/>
          <w:bCs/>
        </w:rPr>
        <w:t xml:space="preserve">霍尔（磁敏）元件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的偏置端接节点①、另一端接地，差分输出两端分别接节点②、③；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一端接节点①、另一端接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+VCC（或作限流）；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一端接节点②、另一端接节点①（增益设定，视组态）；</w:t>
      </w:r>
      <m:oMath>
        <m:sSub>
          <m:e>
            <m:r>
              <m:t>R</m:t>
            </m:r>
          </m:e>
          <m:sub>
            <m:r>
              <m:t>3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一端接节点④、另一端接地；</w:t>
      </w:r>
      <w:r>
        <w:rPr>
          <w:rFonts w:eastAsia="黑体"/>
          <w:b/>
          <w:bCs/>
        </w:rPr>
        <w:t xml:space="preserve">A1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IN+ </w:t>
      </w:r>
      <w:r>
        <w:rPr>
          <w:rFonts w:hint="eastAsia" w:eastAsia="黑体"/>
        </w:rPr>
        <w:t xml:space="preserve">接节点②、IN−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接节点③、REF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接节点④、OUT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接节点⑤、正电源脚</w:t>
      </w:r>
      <w:r>
        <w:rPr>
          <w:rFonts w:eastAsia="黑体"/>
        </w:rPr>
        <w:t xml:space="preserve"> V+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+VCC、负电源脚</w:t>
      </w:r>
      <w:r>
        <w:rPr>
          <w:rFonts w:eastAsia="黑体"/>
        </w:rPr>
        <w:t xml:space="preserve"> V−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−VEE（或地）；</w:t>
      </w:r>
      <w:r>
        <w:rPr>
          <w:rFonts w:hint="eastAsia" w:eastAsia="黑体"/>
          <w:b/>
          <w:bCs/>
        </w:rPr>
        <w:t xml:space="preserve">输出接口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接节点⑤。磁簧开关或开关型霍尔（如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A3144）内部已含比较与迟滞，直接输出上下拉的开关信号。</w:t>
      </w:r>
    </w:p>
    <w:p>
      <w:pPr/>
      <w:r>
        <w:rPr>
          <w:rFonts w:hint="eastAsia" w:eastAsia="黑体"/>
        </w:rPr>
        <w:t xml:space="preserve">由此构成”磁敏元件在偏置电流下产出与磁感应强度成正比的霍尔电压（磁阻则为阻值变化），经差分放大或比较后输出模拟电压或开关量”的磁场检测组态，线性型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K</m:t>
                </m:r>
              </m:e>
              <m:sub>
                <m:r>
                  <m:t>H</m:t>
                </m:r>
              </m:sub>
            </m:sSub>
            <m:r>
              <m:t>I</m:t>
            </m:r>
            <m:r>
              <m:t>B</m:t>
            </m:r>
          </m:num>
          <m:den>
            <m:r>
              <m:t>d</m:t>
            </m:r>
          </m:den>
        </m:f>
      </m:oMath>
      <w:r>
        <w:rPr>
          <w:rFonts w:hint="eastAsia" w:eastAsia="黑体"/>
        </w:rPr>
        <w:t xml:space="preserve">，开关型内部比较并带滞回。</w:t>
      </w:r>
    </w:p>
    <w:bookmarkEnd w:id="19"/>
    <w:bookmarkStart w:id="20" w:name="工作原理"/>
    <w:p>
      <w:pPr>
        <w:pStyle w:val="Heading2"/>
      </w:pPr>
      <w:r>
        <w:rPr>
          <w:rFonts w:hint="eastAsia" w:eastAsia="黑体"/>
        </w:rPr>
        <w:t xml:space="preserve">工作原理</w:t>
      </w:r>
    </w:p>
    <w:p>
      <w:pPr>
        <w:pStyle w:val="FirstParagraph"/>
      </w:pPr>
      <w:r>
        <w:rPr>
          <w:rFonts w:hint="eastAsia" w:eastAsia="黑体"/>
        </w:rPr>
        <w:t xml:space="preserve">以霍尔元件为例：磁场作用下载流子受洛伦兹力偏转，在元件两侧产生霍尔电压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H</m:t>
            </m:r>
          </m:sub>
        </m:sSub>
      </m:oMath>
      <w:r>
        <w:rPr>
          <w:rFonts w:hint="eastAsia" w:eastAsia="黑体"/>
        </w:rPr>
        <w:t xml:space="preserve">，其大小与磁场和偏置电流成正比；磁阻元件则因磁场改变材料电阻。电路把该信号放大或与阈值比较后输出。</w:t>
      </w:r>
    </w:p>
    <w:bookmarkEnd w:id="20"/>
    <w:bookmarkStart w:id="21" w:name="关键计算公式"/>
    <w:p>
      <w:pPr>
        <w:pStyle w:val="Heading2"/>
      </w:pPr>
      <w:r>
        <w:rPr>
          <w:rFonts w:hint="eastAsia" w:eastAsia="黑体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霍尔电压：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H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H</m:t>
                  </m:r>
                </m:sub>
              </m:sSub>
              <m:r>
                <m:t>I</m:t>
              </m:r>
              <m:r>
                <m:t>B</m:t>
              </m:r>
            </m:num>
            <m:den>
              <m:r>
                <m:t>d</m:t>
              </m:r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霍尔灵敏度：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H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H</m:t>
                  </m:r>
                </m:sub>
              </m:sSub>
            </m:num>
            <m:den>
              <m:r>
                <m:t>d</m:t>
              </m:r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磁感应强度（长直导线附近）：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B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  <m:r>
                <m:t>I</m:t>
              </m:r>
            </m:num>
            <m:den>
              <m:r>
                <m:t>2</m:t>
              </m:r>
              <m:r>
                <m:t>π</m:t>
              </m:r>
              <m:r>
                <m:t>r</m:t>
              </m:r>
            </m:den>
          </m:f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H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霍尔电压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K</m:t>
                  </m:r>
                </m:e>
                <m:sub>
                  <m:r>
                    <m:t>H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霍尔系数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m³/(A·s)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I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偏置电流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A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B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磁感应强度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T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d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霍尔片厚度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m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真空磁导率（</w:t>
            </w:r>
            <m:oMath>
              <m:r>
                <m:t>4</m:t>
              </m:r>
              <m:r>
                <m:t>π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sup>
              </m:sSup>
            </m:oMath>
            <w:r>
              <w:rPr>
                <w:rFonts w:hint="eastAsia" w:eastAsia="黑体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H/m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r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到导线距离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m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 w:eastAsia="黑体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偏置电流</w:t>
      </w:r>
      <w:r>
        <w:rPr>
          <w:rFonts w:eastAsia="黑体"/>
          <w:b/>
          <w:bCs/>
        </w:rPr>
        <w:t xml:space="preserve"> </w:t>
      </w:r>
      <m:oMath>
        <m:r>
          <m:t>I</m:t>
        </m:r>
      </m:oMath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增大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霍尔电压</w:t>
      </w:r>
      <w:r>
        <w:rPr>
          <w:rFonts w:eastAsia="黑体"/>
        </w:rPr>
        <w:t xml:space="preserve"> / </w:t>
      </w:r>
      <w:r>
        <w:rPr>
          <w:rFonts w:hint="eastAsia" w:eastAsia="黑体"/>
        </w:rPr>
        <w:t xml:space="preserve">灵敏度提高，但功耗与自热增加。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磁铁与传感器气隙减小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磁场增强，输出更稳定。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放大增益增大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弱磁场可检测，但噪声放大。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选择高灵敏度材（如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InSb/GaAs）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灵敏度提高。</w:t>
      </w:r>
    </w:p>
    <w:bookmarkEnd w:id="22"/>
    <w:bookmarkStart w:id="23" w:name="典型参数示例"/>
    <w:p>
      <w:pPr>
        <w:pStyle w:val="Heading2"/>
      </w:pPr>
      <w:r>
        <w:rPr>
          <w:rFonts w:hint="eastAsia" w:eastAsia="黑体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霍尔灵敏度</w:t>
      </w:r>
      <w:r>
        <w:rPr>
          <w:rFonts w:eastAsia="黑体"/>
        </w:rPr>
        <w:t xml:space="preserve"> </w:t>
      </w:r>
      <m:oMath>
        <m:sSub>
          <m:e>
            <m:r>
              <m:t>S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1</m:t>
        </m:r>
        <m:r>
          <m:t> </m:t>
        </m:r>
        <m:r>
          <m:rPr>
            <m:nor/>
            <m:sty m:val="p"/>
          </m:rPr>
          <m:t>mV/G</m:t>
        </m:r>
        <m:r>
          <m:rPr>
            <m:sty m:val="p"/>
          </m:rPr>
          <m:t>=</m:t>
        </m:r>
        <m:r>
          <m:t>10</m:t>
        </m:r>
        <m:r>
          <m:t> </m:t>
        </m:r>
        <m:r>
          <m:rPr>
            <m:nor/>
            <m:sty m:val="p"/>
          </m:rPr>
          <m:t>V/T</m:t>
        </m:r>
      </m:oMath>
      <w:r>
        <w:rPr>
          <w:rFonts w:hint="eastAsia" w:eastAsia="黑体"/>
        </w:rPr>
        <w:t xml:space="preserve">，磁场</w:t>
      </w:r>
      <w:r>
        <w:rPr>
          <w:rFonts w:eastAsia="黑体"/>
        </w:rPr>
        <w:t xml:space="preserve"> </w:t>
      </w:r>
      <m:oMath>
        <m:r>
          <m:t>B</m:t>
        </m:r>
        <m:r>
          <m:rPr>
            <m:sty m:val="p"/>
          </m:rPr>
          <m:t>=</m:t>
        </m:r>
        <m:r>
          <m:t>0.1</m:t>
        </m:r>
        <m:r>
          <m:t> </m:t>
        </m:r>
        <m:r>
          <m:rPr>
            <m:nor/>
            <m:sty m:val="p"/>
          </m:rPr>
          <m:t>T</m:t>
        </m:r>
      </m:oMath>
      <w:r>
        <w:rPr>
          <w:rFonts w:hint="eastAsia" w:eastAsia="黑体"/>
        </w:rPr>
        <w:t xml:space="preserve">：</w:t>
      </w:r>
      <m:oMath>
        <m:sSub>
          <m:e>
            <m:r>
              <m:t>V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10</m:t>
        </m:r>
        <m:r>
          <m:rPr>
            <m:sty m:val="p"/>
          </m:rPr>
          <m:t>×</m:t>
        </m:r>
        <m:r>
          <m:t>0.1</m:t>
        </m:r>
        <m:r>
          <m:rPr>
            <m:sty m:val="p"/>
          </m:rPr>
          <m:t>=</m:t>
        </m:r>
        <m:r>
          <m:t>1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eastAsia="黑体"/>
        </w:rP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电流</w:t>
      </w:r>
      <w:r>
        <w:rPr>
          <w:rFonts w:eastAsia="黑体"/>
        </w:rPr>
        <w:t xml:space="preserve"> </w:t>
      </w:r>
      <m:oMath>
        <m:r>
          <m:t>I</m:t>
        </m:r>
        <m:r>
          <m:rPr>
            <m:sty m:val="p"/>
          </m:rPr>
          <m:t>=</m:t>
        </m:r>
        <m:r>
          <m:t>10</m:t>
        </m:r>
        <m:r>
          <m:t> </m:t>
        </m:r>
        <m:r>
          <m:rPr>
            <m:nor/>
            <m:sty m:val="p"/>
          </m:rPr>
          <m:t>A</m:t>
        </m:r>
      </m:oMath>
      <w:r>
        <w:rPr>
          <w:rFonts w:hint="eastAsia" w:eastAsia="黑体"/>
        </w:rPr>
        <w:t xml:space="preserve">、距导线</w:t>
      </w:r>
      <w:r>
        <w:rPr>
          <w:rFonts w:eastAsia="黑体"/>
        </w:rP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t> </m:t>
        </m:r>
        <m:r>
          <m:rPr>
            <m:nor/>
            <m:sty m:val="p"/>
          </m:rPr>
          <m:t>cm</m:t>
        </m:r>
        <m:r>
          <m:rPr>
            <m:sty m:val="p"/>
          </m:rPr>
          <m:t>=</m:t>
        </m:r>
        <m:r>
          <m:t>0.01</m:t>
        </m:r>
        <m:r>
          <m:t> </m:t>
        </m:r>
        <m:r>
          <m:rPr>
            <m:nor/>
            <m:sty m:val="p"/>
          </m:rPr>
          <m:t>m</m:t>
        </m:r>
      </m:oMath>
      <w:r>
        <w:rPr>
          <w:rFonts w:hint="eastAsia" w:eastAsia="黑体"/>
        </w:rPr>
        <w:t xml:space="preserve">：</w:t>
      </w:r>
      <m:oMath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  <m:r>
              <m:t>π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7</m:t>
                </m:r>
              </m:sup>
            </m:sSup>
            <m:r>
              <m:rPr>
                <m:sty m:val="p"/>
              </m:rPr>
              <m:t>×</m:t>
            </m:r>
            <m:r>
              <m:t>10</m:t>
            </m:r>
          </m:num>
          <m:den>
            <m:r>
              <m:t>2</m:t>
            </m:r>
            <m:r>
              <m:t>π</m:t>
            </m:r>
            <m:r>
              <m:rPr>
                <m:sty m:val="p"/>
              </m:rPr>
              <m:t>×</m:t>
            </m:r>
            <m:r>
              <m:t>0.01</m:t>
            </m:r>
          </m:den>
        </m:f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t> </m:t>
        </m:r>
        <m:r>
          <m:rPr>
            <m:nor/>
            <m:sty m:val="p"/>
          </m:rPr>
          <m:t>T</m:t>
        </m:r>
        <m:r>
          <m:rPr>
            <m:sty m:val="p"/>
          </m:rPr>
          <m:t>=</m:t>
        </m:r>
        <m:r>
          <m:t>0.2</m:t>
        </m:r>
        <m:r>
          <m:t> </m:t>
        </m:r>
        <m:r>
          <m:rPr>
            <m:nor/>
            <m:sty m:val="p"/>
          </m:rPr>
          <m:t>mT</m:t>
        </m:r>
      </m:oMath>
      <w:r>
        <w:rPr>
          <w:rFonts w:eastAsia="黑体"/>
        </w:rPr>
        <w:t xml:space="preserve">。</w:t>
      </w:r>
    </w:p>
    <w:bookmarkEnd w:id="23"/>
    <w:bookmarkStart w:id="24" w:name="常见器件型号"/>
    <w:p>
      <w:pPr>
        <w:pStyle w:val="Heading2"/>
      </w:pPr>
      <w:r>
        <w:rPr>
          <w:rFonts w:hint="eastAsia" w:eastAsia="黑体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开关型霍尔：A3144、SS49E（线型）、OH44E。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磁阻传感器：HMC1021（AMR）。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集成电流传感：ACS712、ACS758。</w:t>
      </w:r>
    </w:p>
    <w:bookmarkEnd w:id="24"/>
    <w:bookmarkStart w:id="25" w:name="注意事项"/>
    <w:p>
      <w:pPr>
        <w:pStyle w:val="Heading2"/>
      </w:pPr>
      <w:r>
        <w:rPr>
          <w:rFonts w:hint="eastAsia" w:eastAsia="黑体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霍尔元件输出有失调与温漂，需校准或选带温度补偿的型号。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磁场方向与传感器敏感轴必须对齐，否则灵敏度下降。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邻近强磁或导磁体、电机漏磁会干扰测量，需合理布局与屏蔽。</w:t>
      </w:r>
    </w:p>
    <w:bookmarkEnd w:id="25"/>
    <w:bookmarkStart w:id="26" w:name="参考资料"/>
    <w:p>
      <w:pPr>
        <w:pStyle w:val="Heading2"/>
      </w:pPr>
      <w:r>
        <w:rPr>
          <w:rFonts w:hint="eastAsia" w:eastAsia="黑体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Wikipedia: Hall effect sensor / Magnetoresistance。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Allegro A3144 / ACS712 </w:t>
      </w:r>
      <w:r>
        <w:rPr>
          <w:rFonts w:hint="eastAsia" w:eastAsia="黑体"/>
        </w:rPr>
        <w:t xml:space="preserve">数据手册。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Honeywell HMC1021 </w:t>
      </w:r>
      <w:r>
        <w:rPr>
          <w:rFonts w:hint="eastAsia" w:eastAsia="黑体"/>
        </w:rPr>
        <w:t xml:space="preserve">数据手册。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 w:eastAsia="黑体"/>
          <w:color w:val="555555"/>
          <w:sz w:val="21"/>
        </w:rPr>
        <w:t>材料收集者：杜文杰，WX手机：19519196569，QQ:3478827729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黑体"/>
        <w:sz w:val="18"/>
      </w:rPr>
      <w:t xml:space="preserve">第 </w:t>
    </w:r>
    <w:r>
      <w:rPr>
        <w:rFonts w:eastAsia="黑体"/>
        <w:sz w:val="18"/>
      </w:rPr>
      <w:fldChar w:fldCharType="begin"/>
      <w:instrText xml:space="preserve">PAGE</w:instrText>
      <w:fldChar w:fldCharType="end"/>
    </w:r>
    <w:r>
      <w:rPr>
        <w:rFonts w:eastAsia="黑体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rPr>
          <w:rFonts w:eastAsia="黑体"/>
        </w:rPr>
        <w:continuationSeparator/>
      </w:r>
    </w:p>
  </w:footnote>
  <w:footnote w:type="separator" w:id="-1">
    <w:p>
      <w:r>
        <w:rPr>
          <w:rFonts w:eastAsia="黑体"/>
        </w:rPr>
        <w:separator/>
      </w:r>
    </w:p>
  </w:footnote>
</w:footnotes>
</file>

<file path=word/header1.xml><?xml version="1.0" encoding="utf-8"?>
<w:hd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黑体"/>
        <w:sz w:val="18"/>
        <w:rFonts w:eastAsia="黑体"/>
        <w:rFonts w:eastAsia="黑体"/>
      </w:rPr>
      <w:t>磁敏传感器电路</w:t>
    </w:r>
  </w:p>
</w:hdr>
</file>

<file path=word/numbering.xml><?xml version="1.0" encoding="utf-8"?>
<w:numbering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 w:eastAsia="黑体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 w:eastAsia="黑体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 w:eastAsia="黑体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 w:eastAsia="黑体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 w:eastAsia="黑体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 w:eastAsia="黑体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 w:eastAsia="黑体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 w:eastAsia="黑体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 w:eastAsia="黑体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 w:eastAsia="黑体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 w:eastAsia="黑体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 w:eastAsia="黑体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 w:eastAsia="黑体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r="http://schemas.openxmlformats.org/officeDocument/2006/relationships" xmlns:w14="http://schemas.microsoft.com/office/word/2010/wordml" mc:Ignorable="w14">
  <w:docDefaults>
    <w:rPrDefault>
      <w:rPr>
        <w:rFonts w:asciiTheme="minorHAnsi" w:cstheme="minorBidi" w:hAnsiTheme="minorHAnsi" w:eastAsia="黑体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hAnsiTheme="majorHAnsi" w:eastAsia="黑体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hAnsiTheme="majorHAnsi" w:eastAsia="黑体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hAnsiTheme="majorHAnsi" w:eastAsia="黑体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hAnsiTheme="majorHAnsi" w:eastAsia="黑体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hAnsiTheme="majorHAnsi" w:eastAsia="黑体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hAnsiTheme="majorHAnsi" w:eastAsia="黑体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hAnsiTheme="majorHAnsi" w:eastAsia="黑体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rFonts w:eastAsia="黑体"/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rFonts w:eastAsia="黑体"/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 w:eastAsia="黑体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 w:eastAsia="黑体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rFonts w:eastAsia="黑体"/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hAnsiTheme="majorHAnsi" w:eastAsia="黑体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hAnsiTheme="majorHAnsi" w:eastAsia="黑体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hAnsiTheme="majorHAnsi" w:eastAsia="黑体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hAnsiTheme="majorHAnsi" w:eastAsia="黑体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eastAsia="黑体"/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rFonts w:eastAsia="黑体"/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rFonts w:eastAsia="黑体"/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rFonts w:eastAsia="黑体"/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rFonts w:eastAsia="黑体"/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rFonts w:eastAsia="黑体"/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rFonts w:eastAsia="黑体"/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rFonts w:eastAsia="黑体"/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rFonts w:eastAsia="黑体"/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rFonts w:eastAsia="黑体"/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rFonts w:eastAsia="黑体"/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rFonts w:eastAsia="黑体"/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rFonts w:eastAsia="黑体"/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rFonts w:eastAsia="黑体"/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rFonts w:eastAsia="黑体"/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rFonts w:eastAsia="黑体"/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rFonts w:eastAsia="黑体"/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rFonts w:eastAsia="黑体"/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rFonts w:eastAsia="黑体"/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rFonts w:eastAsia="黑体"/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rFonts w:eastAsia="黑体"/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rFonts w:eastAsia="黑体"/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rFonts w:eastAsia="黑体"/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rFonts w:eastAsia="黑体"/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rFonts w:eastAsia="黑体"/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rFonts w:eastAsia="黑体"/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rFonts w:eastAsia="黑体"/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rFonts w:eastAsia="黑体"/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rFonts w:eastAsia="黑体"/>
      <w:b/>
      <w:color w:val="007020"/>
    </w:rPr>
  </w:style>
  <w:style w:type="character" w:customStyle="1" w:styleId="DataTypeTok">
    <w:name w:val="DataTypeTok"/>
    <w:basedOn w:val="VerbatimChar"/>
    <w:rPr>
      <w:rFonts w:eastAsia="黑体"/>
      <w:color w:val="902000"/>
    </w:rPr>
  </w:style>
  <w:style w:type="character" w:customStyle="1" w:styleId="DecValTok">
    <w:name w:val="DecValTok"/>
    <w:basedOn w:val="VerbatimChar"/>
    <w:rPr>
      <w:rFonts w:eastAsia="黑体"/>
      <w:color w:val="40a070"/>
    </w:rPr>
  </w:style>
  <w:style w:type="character" w:customStyle="1" w:styleId="BaseNTok">
    <w:name w:val="BaseNTok"/>
    <w:basedOn w:val="VerbatimChar"/>
    <w:rPr>
      <w:rFonts w:eastAsia="黑体"/>
      <w:color w:val="40a070"/>
    </w:rPr>
  </w:style>
  <w:style w:type="character" w:customStyle="1" w:styleId="FloatTok">
    <w:name w:val="FloatTok"/>
    <w:basedOn w:val="VerbatimChar"/>
    <w:rPr>
      <w:rFonts w:eastAsia="黑体"/>
      <w:color w:val="40a070"/>
    </w:rPr>
  </w:style>
  <w:style w:type="character" w:customStyle="1" w:styleId="ConstantTok">
    <w:name w:val="ConstantTok"/>
    <w:basedOn w:val="VerbatimChar"/>
    <w:rPr>
      <w:rFonts w:eastAsia="黑体"/>
      <w:color w:val="880000"/>
    </w:rPr>
  </w:style>
  <w:style w:type="character" w:customStyle="1" w:styleId="CharTok">
    <w:name w:val="CharTok"/>
    <w:basedOn w:val="VerbatimChar"/>
    <w:rPr>
      <w:rFonts w:eastAsia="黑体"/>
      <w:color w:val="4070a0"/>
    </w:rPr>
  </w:style>
  <w:style w:type="character" w:customStyle="1" w:styleId="SpecialCharTok">
    <w:name w:val="SpecialCharTok"/>
    <w:basedOn w:val="VerbatimChar"/>
    <w:rPr>
      <w:rFonts w:eastAsia="黑体"/>
      <w:color w:val="4070a0"/>
    </w:rPr>
  </w:style>
  <w:style w:type="character" w:customStyle="1" w:styleId="StringTok">
    <w:name w:val="StringTok"/>
    <w:basedOn w:val="VerbatimChar"/>
    <w:rPr>
      <w:rFonts w:eastAsia="黑体"/>
      <w:color w:val="4070a0"/>
    </w:rPr>
  </w:style>
  <w:style w:type="character" w:customStyle="1" w:styleId="VerbatimStringTok">
    <w:name w:val="VerbatimStringTok"/>
    <w:basedOn w:val="VerbatimChar"/>
    <w:rPr>
      <w:rFonts w:eastAsia="黑体"/>
      <w:color w:val="4070a0"/>
    </w:rPr>
  </w:style>
  <w:style w:type="character" w:customStyle="1" w:styleId="SpecialStringTok">
    <w:name w:val="SpecialStringTok"/>
    <w:basedOn w:val="VerbatimChar"/>
    <w:rPr>
      <w:rFonts w:eastAsia="黑体"/>
      <w:color w:val="bb6688"/>
    </w:rPr>
  </w:style>
  <w:style w:type="character" w:customStyle="1" w:styleId="ImportTok">
    <w:name w:val="ImportTok"/>
    <w:basedOn w:val="VerbatimChar"/>
    <w:rPr>
      <w:rFonts w:eastAsia="黑体"/>
      <w:b/>
      <w:color w:val="008000"/>
    </w:rPr>
  </w:style>
  <w:style w:type="character" w:customStyle="1" w:styleId="CommentTok">
    <w:name w:val="CommentTok"/>
    <w:basedOn w:val="VerbatimChar"/>
    <w:rPr>
      <w:rFonts w:eastAsia="黑体"/>
      <w:i/>
      <w:color w:val="60a0b0"/>
    </w:rPr>
  </w:style>
  <w:style w:type="character" w:customStyle="1" w:styleId="DocumentationTok">
    <w:name w:val="DocumentationTok"/>
    <w:basedOn w:val="VerbatimChar"/>
    <w:rPr>
      <w:rFonts w:eastAsia="黑体"/>
      <w:i/>
      <w:color w:val="ba2121"/>
    </w:rPr>
  </w:style>
  <w:style w:type="character" w:customStyle="1" w:styleId="AnnotationTok">
    <w:name w:val="AnnotationTok"/>
    <w:basedOn w:val="VerbatimChar"/>
    <w:rPr>
      <w:rFonts w:eastAsia="黑体"/>
      <w:b/>
      <w:i/>
      <w:color w:val="60a0b0"/>
    </w:rPr>
  </w:style>
  <w:style w:type="character" w:customStyle="1" w:styleId="CommentVarTok">
    <w:name w:val="CommentVarTok"/>
    <w:basedOn w:val="VerbatimChar"/>
    <w:rPr>
      <w:rFonts w:eastAsia="黑体"/>
      <w:b/>
      <w:i/>
      <w:color w:val="60a0b0"/>
    </w:rPr>
  </w:style>
  <w:style w:type="character" w:customStyle="1" w:styleId="OtherTok">
    <w:name w:val="OtherTok"/>
    <w:basedOn w:val="VerbatimChar"/>
    <w:rPr>
      <w:rFonts w:eastAsia="黑体"/>
      <w:color w:val="007020"/>
    </w:rPr>
  </w:style>
  <w:style w:type="character" w:customStyle="1" w:styleId="FunctionTok">
    <w:name w:val="FunctionTok"/>
    <w:basedOn w:val="VerbatimChar"/>
    <w:rPr>
      <w:rFonts w:eastAsia="黑体"/>
      <w:color w:val="06287e"/>
    </w:rPr>
  </w:style>
  <w:style w:type="character" w:customStyle="1" w:styleId="VariableTok">
    <w:name w:val="VariableTok"/>
    <w:basedOn w:val="VerbatimChar"/>
    <w:rPr>
      <w:rFonts w:eastAsia="黑体"/>
      <w:color w:val="19177c"/>
    </w:rPr>
  </w:style>
  <w:style w:type="character" w:customStyle="1" w:styleId="ControlFlowTok">
    <w:name w:val="ControlFlowTok"/>
    <w:basedOn w:val="VerbatimChar"/>
    <w:rPr>
      <w:rFonts w:eastAsia="黑体"/>
      <w:b/>
      <w:color w:val="007020"/>
    </w:rPr>
  </w:style>
  <w:style w:type="character" w:customStyle="1" w:styleId="OperatorTok">
    <w:name w:val="OperatorTok"/>
    <w:basedOn w:val="VerbatimChar"/>
    <w:rPr>
      <w:rFonts w:eastAsia="黑体"/>
      <w:color w:val="666666"/>
    </w:rPr>
  </w:style>
  <w:style w:type="character" w:customStyle="1" w:styleId="BuiltInTok">
    <w:name w:val="BuiltInTok"/>
    <w:basedOn w:val="VerbatimChar"/>
    <w:rPr>
      <w:rFonts w:eastAsia="黑体"/>
      <w:color w:val="008000"/>
    </w:rPr>
  </w:style>
  <w:style w:type="character" w:customStyle="1" w:styleId="ExtensionTok">
    <w:name w:val="ExtensionTok"/>
    <w:basedOn w:val="VerbatimChar"/>
    <w:rPr>
      <w:rFonts w:eastAsia="黑体"/>
    </w:rPr>
  </w:style>
  <w:style w:type="character" w:customStyle="1" w:styleId="PreprocessorTok">
    <w:name w:val="PreprocessorTok"/>
    <w:basedOn w:val="VerbatimChar"/>
    <w:rPr>
      <w:rFonts w:eastAsia="黑体"/>
      <w:color w:val="bc7a00"/>
    </w:rPr>
  </w:style>
  <w:style w:type="character" w:customStyle="1" w:styleId="AttributeTok">
    <w:name w:val="AttributeTok"/>
    <w:basedOn w:val="VerbatimChar"/>
    <w:rPr>
      <w:rFonts w:eastAsia="黑体"/>
      <w:color w:val="7d9029"/>
    </w:rPr>
  </w:style>
  <w:style w:type="character" w:customStyle="1" w:styleId="RegionMarkerTok">
    <w:name w:val="RegionMarkerTok"/>
    <w:basedOn w:val="VerbatimChar"/>
    <w:rPr>
      <w:rFonts w:eastAsia="黑体"/>
    </w:rPr>
  </w:style>
  <w:style w:type="character" w:customStyle="1" w:styleId="InformationTok">
    <w:name w:val="InformationTok"/>
    <w:basedOn w:val="VerbatimChar"/>
    <w:rPr>
      <w:rFonts w:eastAsia="黑体"/>
      <w:b/>
      <w:i/>
      <w:color w:val="60a0b0"/>
    </w:rPr>
  </w:style>
  <w:style w:type="character" w:customStyle="1" w:styleId="WarningTok">
    <w:name w:val="WarningTok"/>
    <w:basedOn w:val="VerbatimChar"/>
    <w:rPr>
      <w:rFonts w:eastAsia="黑体"/>
      <w:b/>
      <w:i/>
      <w:color w:val="60a0b0"/>
    </w:rPr>
  </w:style>
  <w:style w:type="character" w:customStyle="1" w:styleId="AlertTok">
    <w:name w:val="AlertTok"/>
    <w:basedOn w:val="VerbatimChar"/>
    <w:rPr>
      <w:rFonts w:eastAsia="黑体"/>
      <w:b/>
      <w:color w:val="ff0000"/>
    </w:rPr>
  </w:style>
  <w:style w:type="character" w:customStyle="1" w:styleId="ErrorTok">
    <w:name w:val="ErrorTok"/>
    <w:basedOn w:val="VerbatimChar"/>
    <w:rPr>
      <w:rFonts w:eastAsia="黑体"/>
      <w:b/>
      <w:color w:val="ff0000"/>
    </w:rPr>
  </w:style>
  <w:style w:type="character" w:customStyle="1" w:styleId="NormalTok">
    <w:name w:val="NormalTok"/>
    <w:basedOn w:val="VerbatimChar"/>
    <w:rPr>
      <w:rFonts w:eastAsia="黑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黑体"/>
        <a:font script="Hant" typeface="黑体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黑体"/>
        <a:cs typeface=""/>
        <a:font script="Jpan" typeface="ＭＳ 明朝"/>
        <a:font script="Hang" typeface="맑은 고딕"/>
        <a:font script="Hans" typeface="黑体"/>
        <a:font script="Hant" typeface="黑体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磁敏传感器电路</dc:title>
  <dc:creator>AI 智能体</dc:creator>
  <cp:keywords/>
  <dcterms:created xsi:type="dcterms:W3CDTF">2026-09-08T14:37:23Z</dcterms:created>
  <dcterms:modified xsi:type="dcterms:W3CDTF">2026-09-08T14:37:23Z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