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hz-收发电路"/>
    <w:p>
      <w:pPr>
        <w:pStyle w:val="Heading1"/>
      </w:pPr>
      <w:r>
        <w:rPr>
          <w:rFonts w:eastAsia="黑体"/>
        </w:rPr>
        <w:t xml:space="preserve">2.4GHz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2.4 GHz </w:t>
      </w:r>
      <w:r>
        <w:rPr>
          <w:rFonts w:hint="eastAsia" w:eastAsia="黑体"/>
          <w:b/>
          <w:bCs/>
        </w:rPr>
        <w:t xml:space="preserve">射频收发芯片（SoC）U1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巴伦/匹配网络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</w:t>
      </w:r>
      <w:r>
        <w:rPr>
          <w:rFonts w:eastAsia="黑体"/>
          <w:b/>
          <w:bCs/>
        </w:rPr>
        <w:t xml:space="preserve"> ANT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电源去耦网络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MCU/协议栈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组成，按功能划分为射频收发、时钟、去耦与控制四类单元。电路共有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（ANT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巴伦单端节点</w:t>
      </w:r>
      <w:r>
        <w:rPr>
          <w:rFonts w:hint="eastAsia" w:eastAsia="黑体"/>
        </w:rPr>
        <w:t xml:space="preserve">（匹配网络与巴伦单端脚相连）；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差分射频节点</w:t>
      </w:r>
      <w:r>
        <w:rPr>
          <w:rFonts w:hint="eastAsia" w:eastAsia="黑体"/>
        </w:rPr>
        <w:t xml:space="preserve">（巴伦两个差分端分别接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的发射/接收射频脚）；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的晶振脚相连）；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基带/控制节点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SPI/串口脚与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相连，承载数据与配置）；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ANT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巴伦</w:t>
      </w:r>
      <w:r>
        <w:rPr>
          <w:rFonts w:hint="eastAsia" w:eastAsia="黑体"/>
        </w:rPr>
        <w:t xml:space="preserve">的单端脚接节点②、两个差分脚分别接节点③；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的差分射频脚（RF+/RF−）接节点③，晶振脚</w:t>
      </w:r>
      <w:r>
        <w:rPr>
          <w:rFonts w:eastAsia="黑体"/>
        </w:rPr>
        <w:t xml:space="preserve"> XTAL </w:t>
      </w:r>
      <w:r>
        <w:rPr>
          <w:rFonts w:hint="eastAsia" w:eastAsia="黑体"/>
        </w:rPr>
        <w:t xml:space="preserve">接节点④，数据/配置脚（如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CS/SCK/MOSI/MISO）接节点⑤，电源脚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接节点⑥、地脚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接节点⑦；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两端分别接节点④与负载电容（或地）；</w:t>
      </w:r>
      <w:r>
        <w:rPr>
          <w:rFonts w:eastAsia="黑体"/>
          <w:b/>
          <w:bCs/>
        </w:rPr>
        <w:t xml:space="preserve">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的对应串口/SPI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脚接节点⑤，电源脚接节点⑥、地脚接节点⑦；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跨接在节点⑥与⑦之间以抑制发射瞬态电流。</w:t>
      </w:r>
    </w:p>
    <w:p>
      <w:pPr/>
      <w:r>
        <w:rPr>
          <w:rFonts w:hint="eastAsia" w:eastAsia="黑体"/>
        </w:rPr>
        <w:t xml:space="preserve">由此构成”基带数据经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送入</w:t>
      </w:r>
      <w:r>
        <w:rPr>
          <w:rFonts w:eastAsia="黑体"/>
        </w:rPr>
        <w:t xml:space="preserve"> SoC、SoC </w:t>
      </w:r>
      <w:r>
        <w:rPr>
          <w:rFonts w:hint="eastAsia" w:eastAsia="黑体"/>
        </w:rPr>
        <w:t xml:space="preserve">完成调制与上变频后经巴伦与匹配网络馈入天线，接收时反向还原”的半双工</w:t>
      </w:r>
      <w:r>
        <w:rPr>
          <w:rFonts w:eastAsia="黑体"/>
        </w:rPr>
        <w:t xml:space="preserve"> 2.4 GHz ISM </w:t>
      </w:r>
      <w:r>
        <w:rPr>
          <w:rFonts w:hint="eastAsia" w:eastAsia="黑体"/>
        </w:rPr>
        <w:t xml:space="preserve">频段无线收发组态。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发射时基带数据经调制、上变频、功率放大后由天线辐射；接收时天线信号经低噪声放大、下变频、解调还原数据。半双工模式下收发分时复用同一信道，协议栈负责组包、跳频与重传。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d</m:t>
                  </m:r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数据率与符号率关系：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r>
            <m:t>k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收、发功率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收发天线增益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数据率、符号率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bit/s、Baud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通信距离增大，但功耗与干扰增加。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天线增益提高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链路余量增大，方向性增强或全向性变差。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数据率提高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抗干扰能力下降、接收灵敏度降低，距离缩短。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回波损耗变差，发射效率与灵敏度下降。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 w:eastAsia="黑体"/>
        </w:rPr>
        <w:t xml:space="preserve">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nor/>
            <m:sty m:val="p"/>
          </m:rPr>
          <m:t>m</m:t>
        </m:r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cm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：路径损耗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</m:num>
              <m:den>
                <m:r>
                  <m:t>0.125</m:t>
                </m:r>
              </m:den>
            </m:f>
          </m:e>
        </m:d>
        <m:r>
          <m:rPr>
            <m:sty m:val="p"/>
          </m:rPr>
          <m:t>≈</m:t>
        </m:r>
        <m:r>
          <m:t>60.05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SoC：nRF24L01、nRF52832、ESP32、CC2541。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Wi-Fi/蓝牙共用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频段，需跳频或避让减少干扰。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天线匹配与布局（50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走线、接地）直接影响通信距离。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晶振频率精度影响无线参数，应选用符合误差要求的晶振。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2.4 GHz band / ISM band。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Nordic nRF24L01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CC2541 </w:t>
      </w:r>
      <w:r>
        <w:rPr>
          <w:rFonts w:hint="eastAsia" w:eastAsia="黑体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2.4GHz收发电路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2.4GHz收发电路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