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zigbee-收发电路"/>
    <w:p>
      <w:pPr>
        <w:pStyle w:val="Heading1"/>
      </w:pPr>
      <w:r>
        <w:rPr>
          <w:rFonts w:eastAsia="黑体"/>
        </w:rPr>
        <w:t xml:space="preserve">ZigBee </w:t>
      </w:r>
      <w:r>
        <w:rPr>
          <w:rFonts w:hint="eastAsia" w:eastAsia="黑体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ZigBee </w:t>
      </w:r>
      <w:r>
        <w:rPr>
          <w:rFonts w:hint="eastAsia" w:eastAsia="黑体"/>
          <w:b/>
          <w:bCs/>
        </w:rPr>
        <w:t xml:space="preserve">无线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SoC/模组（如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CC2530、CC2538、EFR32MG）U1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Y1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天线及匹配网络（巴伦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Balun）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电源滤波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组成，按功能分为射频、时钟、电源与网络四类。SoC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内部集成</w:t>
      </w:r>
      <w:r>
        <w:rPr>
          <w:rFonts w:eastAsia="黑体"/>
        </w:rPr>
        <w:t xml:space="preserve"> 8051/ARM </w:t>
      </w:r>
      <w:r>
        <w:rPr>
          <w:rFonts w:hint="eastAsia" w:eastAsia="黑体"/>
        </w:rPr>
        <w:t xml:space="preserve">内核、IEEE</w:t>
      </w:r>
      <w:r>
        <w:rPr>
          <w:rFonts w:eastAsia="黑体"/>
        </w:rPr>
        <w:t xml:space="preserve"> 802.15.4 </w:t>
      </w:r>
      <w:r>
        <w:rPr>
          <w:rFonts w:hint="eastAsia" w:eastAsia="黑体"/>
        </w:rPr>
        <w:t xml:space="preserve">射频收发机和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MAC，外接天线即可组网，工作在</w:t>
      </w:r>
      <w:r>
        <w:rPr>
          <w:rFonts w:eastAsia="黑体"/>
        </w:rPr>
        <w:t xml:space="preserve"> 2.4 GHz / 915 / 868 MHz </w:t>
      </w:r>
      <w:r>
        <w:rPr>
          <w:rFonts w:hint="eastAsia" w:eastAsia="黑体"/>
        </w:rPr>
        <w:t xml:space="preserve">频段。电路共有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天线射频节点</w:t>
      </w:r>
      <w:r>
        <w:rPr>
          <w:rFonts w:hint="eastAsia" w:eastAsia="黑体"/>
        </w:rPr>
        <w:t xml:space="preserve">（天线与匹配网络相连）；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巴伦单端节点</w:t>
      </w:r>
      <w:r>
        <w:rPr>
          <w:rFonts w:hint="eastAsia" w:eastAsia="黑体"/>
        </w:rPr>
        <w:t xml:space="preserve">（匹配网络与巴伦单端脚相连）；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差分射频节点</w:t>
      </w:r>
      <w:r>
        <w:rPr>
          <w:rFonts w:hint="eastAsia" w:eastAsia="黑体"/>
        </w:rPr>
        <w:t xml:space="preserve">（巴伦差分支路接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的差分射频脚）；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参考时钟节点</w:t>
      </w:r>
      <w:r>
        <w:rPr>
          <w:rFonts w:hint="eastAsia" w:eastAsia="黑体"/>
        </w:rPr>
        <w:t xml:space="preserve">（Y1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的晶振脚相连）；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天线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一端接节点①、另一端接节点②；</w:t>
      </w:r>
      <w:r>
        <w:rPr>
          <w:rFonts w:hint="eastAsia" w:eastAsia="黑体"/>
          <w:b/>
          <w:bCs/>
        </w:rPr>
        <w:t xml:space="preserve">巴伦</w:t>
      </w:r>
      <w:r>
        <w:rPr>
          <w:rFonts w:hint="eastAsia" w:eastAsia="黑体"/>
        </w:rPr>
        <w:t xml:space="preserve">的单端脚接节点②、两个差分脚接节点③，且差分走线保持对称；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的差分射频脚（RF+/RF−）接节点③，晶振脚（XTAL）接节点④，电源脚（VDD、AVDD）接节点⑤、地脚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接节点⑥；</w:t>
      </w:r>
      <w:r>
        <w:rPr>
          <w:rFonts w:eastAsia="黑体"/>
          <w:b/>
          <w:bCs/>
        </w:rPr>
        <w:t xml:space="preserve">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两端分别接节点④与负载电容（或地）；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跨接在节点⑤与⑥之间。</w:t>
      </w:r>
    </w:p>
    <w:p>
      <w:pPr/>
      <w:r>
        <w:rPr>
          <w:rFonts w:hint="eastAsia" w:eastAsia="黑体"/>
        </w:rPr>
        <w:t xml:space="preserve">由此构成”数据经</w:t>
      </w:r>
      <w:r>
        <w:rPr>
          <w:rFonts w:eastAsia="黑体"/>
        </w:rPr>
        <w:t xml:space="preserve"> SoC </w:t>
      </w:r>
      <w:r>
        <w:rPr>
          <w:rFonts w:hint="eastAsia" w:eastAsia="黑体"/>
        </w:rPr>
        <w:t xml:space="preserve">内</w:t>
      </w:r>
      <w:r>
        <w:rPr>
          <w:rFonts w:eastAsia="黑体"/>
        </w:rPr>
        <w:t xml:space="preserve"> DSSS/O-QPSK </w:t>
      </w:r>
      <w:r>
        <w:rPr>
          <w:rFonts w:hint="eastAsia" w:eastAsia="黑体"/>
        </w:rPr>
        <w:t xml:space="preserve">调制、经巴伦与匹配网络辐射</w:t>
      </w:r>
      <w:r>
        <w:rPr>
          <w:rFonts w:eastAsia="黑体"/>
        </w:rPr>
        <w:t xml:space="preserve"> 2.4 GHz </w:t>
      </w:r>
      <w:r>
        <w:rPr>
          <w:rFonts w:hint="eastAsia" w:eastAsia="黑体"/>
        </w:rPr>
        <w:t xml:space="preserve">信号，接收时反向解调”的</w:t>
      </w:r>
      <w:r>
        <w:rPr>
          <w:rFonts w:eastAsia="黑体"/>
        </w:rPr>
        <w:t xml:space="preserve"> IEEE 802.15.4 </w:t>
      </w:r>
      <w:r>
        <w:rPr>
          <w:rFonts w:hint="eastAsia" w:eastAsia="黑体"/>
        </w:rPr>
        <w:t xml:space="preserve">低功耗自组织网状网络收发组态。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节点采用直接序列扩频（DSSS）与</w:t>
      </w:r>
      <w:r>
        <w:rPr>
          <w:rFonts w:eastAsia="黑体"/>
        </w:rPr>
        <w:t xml:space="preserve"> O-QPSK </w:t>
      </w:r>
      <w:r>
        <w:rPr>
          <w:rFonts w:hint="eastAsia" w:eastAsia="黑体"/>
        </w:rPr>
        <w:t xml:space="preserve">调制，按</w:t>
      </w:r>
      <w:r>
        <w:rPr>
          <w:rFonts w:eastAsia="黑体"/>
        </w:rPr>
        <w:t xml:space="preserve"> IEEE 802.15.4 </w:t>
      </w:r>
      <w:r>
        <w:rPr>
          <w:rFonts w:hint="eastAsia" w:eastAsia="黑体"/>
        </w:rPr>
        <w:t xml:space="preserve">规范以固定成帧格式收发短数据包。网络层通过协调器组建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PAN，节点以网状（mesh）拓扑多跳转发数据，非活动期进入休眠省电。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数据率与符号率关系（4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bit/符号）：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y</m:t>
              </m:r>
              <m:r>
                <m:t>m</m:t>
              </m:r>
            </m:sub>
          </m:sSub>
          <m:r>
            <m:rPr>
              <m:sty m:val="p"/>
            </m:rPr>
            <m:t>×</m:t>
          </m:r>
          <m:r>
            <m:t>4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接收灵敏度：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M</m:t>
              </m:r>
              <m:r>
                <m:t>H</m:t>
              </m:r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32.44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平均功耗：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y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symbol/s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接收灵敏度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平均功耗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发射功率增大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单跳距离增大，但功耗上升、网络干扰增加。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休眠占空比增大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功耗降低，但成为路由节点时的转发响应变慢。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晶振频偏增大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符号定时误差增大，误包率上升。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天线匹配失配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灵敏度与发射效率下降，网络路由不稳定。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巴伦（Balun）与差分走线失配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共模抑制变差，辐射性能下降。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nor/>
            <m:sty m:val="p"/>
          </m:rPr>
          <m:t>GHz</m:t>
        </m:r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r>
          <m:t>2400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）、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r>
          <m:t>0.03</m:t>
        </m:r>
        <m:r>
          <m:t> </m:t>
        </m:r>
        <m:r>
          <m:rPr>
            <m:nor/>
            <m:sty m:val="p"/>
          </m:rPr>
          <m:t>km</m:t>
        </m:r>
      </m:oMath>
      <w:r>
        <w:rPr>
          <w:rFonts w:hint="eastAsia" w:eastAsia="黑体"/>
        </w:rPr>
        <w:t xml:space="preserve">）：</w:t>
      </w:r>
      <m:oMath>
        <m:r>
          <m:t>P</m:t>
        </m:r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2400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32.44</m:t>
        </m:r>
        <m:r>
          <m:rPr>
            <m:sty m:val="p"/>
          </m:rPr>
          <m:t>≈</m:t>
        </m:r>
        <m:r>
          <m:t>69.6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y</m:t>
            </m:r>
            <m:r>
              <m:t>m</m:t>
            </m:r>
          </m:sub>
        </m:sSub>
        <m:r>
          <m:rPr>
            <m:sty m:val="p"/>
          </m:rPr>
          <m:t>=</m:t>
        </m:r>
        <m:r>
          <m:t>62.5</m:t>
        </m:r>
        <m:r>
          <m:t> </m:t>
        </m:r>
        <m:r>
          <m:rPr>
            <m:nor/>
            <m:sty m:val="p"/>
          </m:rPr>
          <m:t>kSymbol/s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62.5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250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芯片/模组：CC2530、CC2538、CC2652R、EFR32MG21。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天线：2.4</w:t>
      </w:r>
      <w:r>
        <w:rPr>
          <w:rFonts w:eastAsia="黑体"/>
        </w:rPr>
        <w:t xml:space="preserve"> GHz PCB </w:t>
      </w:r>
      <w:r>
        <w:rPr>
          <w:rFonts w:hint="eastAsia" w:eastAsia="黑体"/>
        </w:rPr>
        <w:t xml:space="preserve">天线、倒</w:t>
      </w:r>
      <w:r>
        <w:rPr>
          <w:rFonts w:eastAsia="黑体"/>
        </w:rPr>
        <w:t xml:space="preserve"> F </w:t>
      </w:r>
      <w:r>
        <w:rPr>
          <w:rFonts w:hint="eastAsia" w:eastAsia="黑体"/>
        </w:rPr>
        <w:t xml:space="preserve">天线（IFA）。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2.4 GHz </w:t>
      </w:r>
      <w:r>
        <w:rPr>
          <w:rFonts w:hint="eastAsia" w:eastAsia="黑体"/>
        </w:rPr>
        <w:t xml:space="preserve">频段与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WiFi、蓝牙共用，需做信道规划与干扰规避。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网状网络的节点深度与路由数量影响时延，需控制单</w:t>
      </w:r>
      <w:r>
        <w:rPr>
          <w:rFonts w:eastAsia="黑体"/>
        </w:rPr>
        <w:t xml:space="preserve"> PAN </w:t>
      </w:r>
      <w:r>
        <w:rPr>
          <w:rFonts w:hint="eastAsia" w:eastAsia="黑体"/>
        </w:rPr>
        <w:t xml:space="preserve">规模。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天线净空区需参考芯片参考布局，金属外壳会显著衰减信号。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电池供电设备需精确控制休眠唤醒时序以降低平均功耗。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Zigbee。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CC2530 </w:t>
      </w:r>
      <w:r>
        <w:rPr>
          <w:rFonts w:hint="eastAsia" w:eastAsia="黑体"/>
        </w:rPr>
        <w:t xml:space="preserve">数据手册与参考设计。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802.15.4 </w:t>
      </w:r>
      <w:r>
        <w:rPr>
          <w:rFonts w:hint="eastAsia" w:eastAsia="黑体"/>
        </w:rPr>
        <w:t xml:space="preserve">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ZigBee收发电路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ZigBee收发电路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