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m-解调电路"/>
    <w:p>
      <w:pPr>
        <w:pStyle w:val="Heading1"/>
      </w:pPr>
      <w:r>
        <w:rPr>
          <w:rFonts w:eastAsia="黑体"/>
        </w:rPr>
        <w:t xml:space="preserve">AM </w:t>
      </w:r>
      <w:r>
        <w:rPr>
          <w:rFonts w:hint="eastAsia" w:eastAsia="黑体"/>
        </w:rPr>
        <w:t xml:space="preserve">解调电路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乘法器（混频器）M1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本地载波振荡器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OSC1（与接收载波同频同相）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低通滤波器（LPF）A1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组成，按功能分为相干相乘、载波同步与滤波三类。电路共有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已调信号输入节点</w:t>
      </w:r>
      <w:r>
        <w:rPr>
          <w:rFonts w:hint="eastAsia" w:eastAsia="黑体"/>
        </w:rPr>
        <w:t xml:space="preserve">（接收的</w:t>
      </w:r>
      <w:r>
        <w:rPr>
          <w:rFonts w:eastAsia="黑体"/>
        </w:rPr>
        <w:t xml:space="preserve"> AM </w:t>
      </w:r>
      <w:r>
        <w:rPr>
          <w:rFonts w:hint="eastAsia" w:eastAsia="黑体"/>
        </w:rPr>
        <w:t xml:space="preserve">信号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接乘法器）；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本地载波节点</w:t>
      </w:r>
      <w:r>
        <w:rPr>
          <w:rFonts w:hint="eastAsia" w:eastAsia="黑体"/>
        </w:rPr>
        <w:t xml:space="preserve">（OSC1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</w:t>
      </w:r>
      <w:r>
        <w:rPr>
          <w:rFonts w:eastAsia="黑体"/>
        </w:rPr>
        <w:t xml:space="preserve"> </w:t>
      </w:r>
      <m:oMath>
        <m:r>
          <m:rPr>
            <m:sty m:val="p"/>
          </m:rPr>
          <m:t>cos</m:t>
        </m:r>
        <m:sSub>
          <m:e>
            <m:r>
              <m:t>ω</m:t>
            </m:r>
          </m:e>
          <m:sub>
            <m:r>
              <m:t>c</m:t>
            </m:r>
          </m:sub>
        </m:sSub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接乘法器）；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乘积输出节点</w:t>
      </w:r>
      <w:r>
        <w:rPr>
          <w:rFonts w:hint="eastAsia" w:eastAsia="黑体"/>
        </w:rPr>
        <w:t xml:space="preserve">（乘法器输出接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LPF）；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基带输出节点</w:t>
      </w:r>
      <w:r>
        <w:rPr>
          <w:rFonts w:hint="eastAsia" w:eastAsia="黑体"/>
        </w:rPr>
        <w:t xml:space="preserve">（LPF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输出为恢复的调制信号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+VCC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M1（乘法器/混频器）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的信号输入脚</w:t>
      </w:r>
      <w:r>
        <w:rPr>
          <w:rFonts w:eastAsia="黑体"/>
        </w:rPr>
        <w:t xml:space="preserve"> X </w:t>
      </w:r>
      <w:r>
        <w:rPr>
          <w:rFonts w:hint="eastAsia" w:eastAsia="黑体"/>
        </w:rPr>
        <w:t xml:space="preserve">接节点①、本振输入脚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接节点②、输出脚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接节点③，电源脚接节点⑤、地脚接节点⑥；</w:t>
      </w:r>
      <w:r>
        <w:rPr>
          <w:rFonts w:hint="eastAsia" w:eastAsia="黑体"/>
          <w:b/>
          <w:bCs/>
        </w:rPr>
        <w:t xml:space="preserve">OSC1（本地载波振荡器）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的输出脚接节点②，电源脚接节点⑤、地脚接节点⑥；</w:t>
      </w:r>
      <w:r>
        <w:rPr>
          <w:rFonts w:hint="eastAsia" w:eastAsia="黑体"/>
          <w:b/>
          <w:bCs/>
        </w:rPr>
        <w:t xml:space="preserve">A1（LPF）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的输入脚接节点③、输出脚接节点④，其截止频率取在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2</m:t>
        </m:r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之间；载波恢复（PLL/Costas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环）的同步输出接</w:t>
      </w:r>
      <w:r>
        <w:rPr>
          <w:rFonts w:eastAsia="黑体"/>
        </w:rPr>
        <w:t xml:space="preserve"> OSC1 </w:t>
      </w:r>
      <w:r>
        <w:rPr>
          <w:rFonts w:hint="eastAsia" w:eastAsia="黑体"/>
        </w:rPr>
        <w:t xml:space="preserve">的同步输入以保证同频同相。</w:t>
      </w:r>
    </w:p>
    <w:p>
      <w:pPr/>
      <w:r>
        <w:rPr>
          <w:rFonts w:hint="eastAsia" w:eastAsia="黑体"/>
        </w:rPr>
        <w:t xml:space="preserve">由此构成”AM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信号与同频同相本地载波相乘、再低通滤波滤除二倍频恢复基带”的相干（同步）解调组态，输出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c</m:t>
                </m:r>
              </m:sub>
            </m:sSub>
            <m:r>
              <m:t>m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rPr>
          <w:rFonts w:hint="eastAsia" w:eastAsia="黑体"/>
        </w:rPr>
        <w:t xml:space="preserve">，载波相位失配时按</w:t>
      </w:r>
      <w:r>
        <w:rPr>
          <w:rFonts w:eastAsia="黑体"/>
        </w:rPr>
        <w:t xml:space="preserve"> </w:t>
      </w:r>
      <m:oMath>
        <m:r>
          <m:rPr>
            <m:sty m:val="p"/>
          </m:rPr>
          <m:t>cos</m:t>
        </m:r>
        <m:r>
          <m:t>ϕ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衰减。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m:oMath>
        <m:r>
          <m:rPr>
            <m:sty m:val="p"/>
          </m:rPr>
          <m:t>cos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乘积运算把已调波搬回基带：</w:t>
      </w:r>
      <m:oMath>
        <m:sSub>
          <m:e>
            <m:r>
              <m:t>v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c</m:t>
            </m:r>
          </m:sub>
        </m:sSub>
        <m:r>
          <m:t>t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产生基带项与二倍频项，低通滤波滤除高频项后得到原始调制信号。本地载波必须与发射载波同频同相，否则产生失真与幅度衰减。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相乘解调（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为基带，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载波幅度）：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c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高频项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输出基带信号（相干且</w:t>
      </w:r>
      <w:r>
        <w:rPr>
          <w:rFonts w:eastAsia="黑体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  <m:r>
                <m:t>m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相位失配影响（本地载波相位</w:t>
      </w:r>
      <w:r>
        <w:rPr>
          <w:rFonts w:eastAsia="黑体"/>
        </w:rPr>
        <w:t xml:space="preserve"> </w:t>
      </w:r>
      <m:oMath>
        <m:r>
          <m:t>ϕ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r>
            <m:t>ϕ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解调后基带带宽需求（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调制最高频率）：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L</m:t>
              </m:r>
              <m:r>
                <m:t>P</m:t>
              </m:r>
              <m:r>
                <m:t>F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f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L</m:t>
              </m:r>
              <m:r>
                <m:t>P</m:t>
              </m:r>
              <m:r>
                <m:t>F</m:t>
              </m:r>
            </m:sub>
          </m:sSub>
          <m:r>
            <m:rPr>
              <m:sty m:val="p"/>
            </m:rPr>
            <m:t>≪</m:t>
          </m:r>
          <m:r>
            <m:t>2</m:t>
          </m:r>
          <m:sSub>
            <m:e>
              <m:r>
                <m:t>f</m:t>
              </m:r>
            </m:e>
            <m:sub>
              <m:r>
                <m:t>c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载波幅度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调制信号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ϕ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本地载波相位误差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  <m:r>
                    <m:t>P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低通截止频率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载波频率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本地载波相位误差增大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输出幅度按</w:t>
      </w:r>
      <w:r>
        <w:rPr>
          <w:rFonts w:eastAsia="黑体"/>
        </w:rPr>
        <w:t xml:space="preserve"> </w:t>
      </w:r>
      <m:oMath>
        <m:r>
          <m:rPr>
            <m:sty m:val="p"/>
          </m:rPr>
          <m:t>cos</m:t>
        </m:r>
        <m:r>
          <m:t>ϕ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衰减，</w:t>
      </w:r>
      <m:oMath>
        <m:r>
          <m:t>ϕ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时输出为零。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本地载波频偏增大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输出出现时变拍频，解调严重失真。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LPF </w:t>
      </w:r>
      <w:r>
        <w:rPr>
          <w:rFonts w:hint="eastAsia" w:eastAsia="黑体"/>
          <w:b/>
          <w:bCs/>
        </w:rPr>
        <w:t xml:space="preserve">截止频率过低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基带高频分量被滤除，信号失真。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LPF </w:t>
      </w:r>
      <w:r>
        <w:rPr>
          <w:rFonts w:hint="eastAsia" w:eastAsia="黑体"/>
          <w:b/>
          <w:bCs/>
        </w:rPr>
        <w:t xml:space="preserve">截止频率过高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二倍频残留增大，引入纹波干扰。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峰值</w:t>
      </w:r>
      <w:r>
        <w:rPr>
          <w:rFonts w:eastAsia="黑体"/>
        </w:rP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峰值</w:t>
      </w:r>
      <w:r>
        <w:rPr>
          <w:rFonts w:eastAsia="黑体"/>
        </w:rP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：则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L</m:t>
            </m:r>
            <m:r>
              <m:t>P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选在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5～10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kHz，且远小于</w:t>
      </w:r>
      <w:r>
        <w:rPr>
          <w:rFonts w:eastAsia="黑体"/>
        </w:rPr>
        <w:t xml:space="preserve"> 2 MHz。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乘法器/混频器：AD633、MC1496。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运放（搭建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LPF）：LM358、TL072。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载波恢复：PLL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芯片</w:t>
      </w:r>
      <w:r>
        <w:rPr>
          <w:rFonts w:eastAsia="黑体"/>
        </w:rPr>
        <w:t xml:space="preserve"> CD4046、LM565。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需载波同步电路（PLL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Costas </w:t>
      </w:r>
      <w:r>
        <w:rPr>
          <w:rFonts w:hint="eastAsia" w:eastAsia="黑体"/>
        </w:rPr>
        <w:t xml:space="preserve">环）保证本地载波同频同相。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相乘解调对载波相位敏感，同步失败会导致输出为零或失真。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LPF </w:t>
      </w:r>
      <w:r>
        <w:rPr>
          <w:rFonts w:hint="eastAsia" w:eastAsia="黑体"/>
        </w:rPr>
        <w:t xml:space="preserve">设计与基带带宽匹配，兼顾滤除二倍频与保留完整基带。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实际广播接收常用廉价的包络检波替代，相干解调用于对性能要求高的场合。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Amplitude modulation。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《通信原理》（樊昌信）。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AD633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AM解调电路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AM解调电路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