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rfid-射频识别电路"/>
    <w:p>
      <w:pPr>
        <w:pStyle w:val="Heading1"/>
      </w:pPr>
      <w:r>
        <w:rPr>
          <w:rFonts w:eastAsia="黑体"/>
        </w:rPr>
        <w:t xml:space="preserve">RFID </w:t>
      </w:r>
      <w:r>
        <w:rPr>
          <w:rFonts w:hint="eastAsia" w:eastAsia="黑体"/>
        </w:rPr>
        <w:t xml:space="preserve">射频识别电路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RFID </w:t>
      </w:r>
      <w:r>
        <w:rPr>
          <w:rFonts w:hint="eastAsia" w:eastAsia="黑体"/>
          <w:b/>
          <w:bCs/>
        </w:rPr>
        <w:t xml:space="preserve">读写器</w:t>
      </w:r>
      <w:r>
        <w:rPr>
          <w:rFonts w:eastAsia="黑体"/>
          <w:b/>
          <w:bCs/>
        </w:rPr>
        <w:t xml:space="preserve"> A1</w:t>
      </w:r>
      <w:r>
        <w:rPr>
          <w:rFonts w:hint="eastAsia" w:eastAsia="黑体"/>
        </w:rPr>
        <w:t xml:space="preserve">（含射频收发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微控制器）、</w:t>
      </w:r>
      <w:r>
        <w:rPr>
          <w:rFonts w:hint="eastAsia" w:eastAsia="黑体"/>
          <w:b/>
          <w:bCs/>
        </w:rPr>
        <w:t xml:space="preserve">天线匹配网络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滤波器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无源/有源标签</w:t>
      </w:r>
      <w:r>
        <w:rPr>
          <w:rFonts w:eastAsia="黑体"/>
          <w:b/>
          <w:bCs/>
        </w:rPr>
        <w:t xml:space="preserve"> TAG</w:t>
      </w:r>
      <w:r>
        <w:rPr>
          <w:rFonts w:hint="eastAsia" w:eastAsia="黑体"/>
        </w:rPr>
        <w:t xml:space="preserve">（芯片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线圈/天线）组成。电路共有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射频驱动输出（TX）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射频接收输入（RX）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读写器天线（匹配后）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空间电磁耦合信道</w:t>
      </w:r>
      <w:r>
        <w:rPr>
          <w:rFonts w:hint="eastAsia" w:eastAsia="黑体"/>
        </w:rPr>
        <w:t xml:space="preserve">（电感耦合或远场反向散射）；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</w:t>
      </w:r>
      <w:r>
        <w:rPr>
          <w:rFonts w:hint="eastAsia" w:eastAsia="黑体"/>
        </w:rPr>
        <w:t xml:space="preserve">（VCC）与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hint="eastAsia" w:eastAsia="黑体"/>
        </w:rPr>
        <w:t xml:space="preserve">（GND）。</w:t>
      </w:r>
    </w:p>
    <w:p>
      <w:pPr/>
      <w:r>
        <w:rPr>
          <w:rFonts w:hint="eastAsia" w:eastAsia="黑体"/>
        </w:rPr>
        <w:t xml:space="preserve">各器件管脚连接：</w:t>
      </w:r>
      <w:r>
        <w:rPr>
          <w:rFonts w:hint="eastAsia" w:eastAsia="黑体"/>
          <w:b/>
          <w:bCs/>
        </w:rPr>
        <w:t xml:space="preserve">读写器</w:t>
      </w:r>
      <w:r>
        <w:rPr>
          <w:rFonts w:eastAsia="黑体"/>
          <w:b/>
          <w:bCs/>
        </w:rPr>
        <w:t xml:space="preserve"> 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的射频输出（节点①）经带通滤波器与天线匹配网络（串联/并联电容与电感）接到读写器天线（节点③）；天线把载波经空间耦合（节点④）传给标签。接收支路从天线（节点③）经匹配网络与滤波器送入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RF </w:t>
      </w:r>
      <w:r>
        <w:rPr>
          <w:rFonts w:hint="eastAsia" w:eastAsia="黑体"/>
        </w:rPr>
        <w:t xml:space="preserve">输入（节点②），解调标签的反向散射信号。</w:t>
      </w:r>
      <w:r>
        <w:rPr>
          <w:rFonts w:hint="eastAsia" w:eastAsia="黑体"/>
          <w:b/>
          <w:bCs/>
        </w:rPr>
        <w:t xml:space="preserve">标签</w:t>
      </w:r>
      <w:r>
        <w:rPr>
          <w:rFonts w:eastAsia="黑体"/>
          <w:b/>
          <w:bCs/>
        </w:rPr>
        <w:t xml:space="preserve"> TAG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的芯片管脚接其线圈/天线：LF/HF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下标签为谐振回路，需精确调谐到载波频率以获得最大能量耦合；UHF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下标签天线按反向散射方式工作。读写器电源</w:t>
      </w:r>
      <w:r>
        <w:rPr>
          <w:rFonts w:eastAsia="黑体"/>
        </w:rPr>
        <w:t xml:space="preserve"> VCC </w:t>
      </w:r>
      <w:r>
        <w:rPr>
          <w:rFonts w:hint="eastAsia" w:eastAsia="黑体"/>
        </w:rPr>
        <w:t xml:space="preserve">与地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GND（节点⑤/⑥）按各自去耦，发射路径按法规</w:t>
      </w:r>
      <w:r>
        <w:rPr>
          <w:rFonts w:eastAsia="黑体"/>
        </w:rPr>
        <w:t xml:space="preserve"> EIRP </w:t>
      </w:r>
      <w:r>
        <w:rPr>
          <w:rFonts w:hint="eastAsia" w:eastAsia="黑体"/>
        </w:rPr>
        <w:t xml:space="preserve">限制设计。</w:t>
      </w:r>
    </w:p>
    <w:p>
      <w:pPr/>
      <w:r>
        <w:rPr>
          <w:rFonts w:hint="eastAsia" w:eastAsia="黑体"/>
        </w:rPr>
        <w:t xml:space="preserve">由此构成”读写器经匹配网络与天线发射射频载波、无源标签靠射频能量工作并以反向散射或负载调制回传数据”的射频识别链路，LF/HF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用近场磁耦合、UHF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用远场反向散射，用于物流、门禁、防伪等自动识别场景。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读写器发射高频载波（LF</w:t>
      </w:r>
      <w:r>
        <w:rPr>
          <w:rFonts w:eastAsia="黑体"/>
        </w:rPr>
        <w:t xml:space="preserve"> 125 kHz、HF 13.56 MHz、UHF 860~960 </w:t>
      </w:r>
      <w:r>
        <w:rPr>
          <w:rFonts w:hint="eastAsia" w:eastAsia="黑体"/>
        </w:rPr>
        <w:t xml:space="preserve">MHz），标签天线接收能量为芯片供电，并将编码数据以「反向散射」方式调制反射回读写器；无源标签不配电池，完全靠读头的射频能量工作。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电感耦合型（LF/HF）谐振：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eastAsia="黑体"/>
        </w:rPr>
        <w:t xml:space="preserve">UHF </w:t>
      </w:r>
      <w:r>
        <w:rPr>
          <w:rFonts w:hint="eastAsia" w:eastAsia="黑体"/>
        </w:rPr>
        <w:t xml:space="preserve">反向散射雷达方程（接收功率）：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t>t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t>σ</m:t>
              </m:r>
            </m:num>
            <m:den>
              <m:r>
                <m:rPr>
                  <m:sty m:val="p"/>
                </m:rPr>
                <m:t>(</m:t>
              </m:r>
              <m:r>
                <m:t>4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链路预算（读距估算）：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deg>
                  <m:r>
                    <m:t>4</m:t>
                  </m:r>
                </m:deg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c</m:t>
                      </m:r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t>i</m:t>
                      </m:r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标签激活所需最小磁场（HF）：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∝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L</m:t>
                  </m:r>
                </m:den>
              </m:f>
            </m:e>
          </m:ra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载波频率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标签天线电感/电容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H, 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发射功率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天线增益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波长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通信距离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m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标签谐振电容</w:t>
      </w:r>
      <w:r>
        <w:rPr>
          <w:rFonts w:eastAsia="黑体"/>
          <w:b/>
          <w:bCs/>
        </w:rPr>
        <w:t xml:space="preserve"> ↑/↓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失谐，能量耦合效率与读距急剧下降。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发射功率</w:t>
      </w:r>
      <w:r>
        <w:rPr>
          <w:rFonts w:eastAsia="黑体"/>
          <w:b/>
          <w:bCs/>
        </w:rPr>
        <w:t xml:space="preserve"> P_t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读距增大（∝</w:t>
      </w:r>
      <w:r>
        <w:rPr>
          <w:rFonts w:eastAsia="黑体"/>
        </w:rPr>
        <w:t xml:space="preserve"> </w:t>
      </w:r>
      <m:oMath>
        <m:sSup>
          <m:e>
            <m:r>
              <m:t>r</m:t>
            </m:r>
          </m:e>
          <m:sup>
            <m:r>
              <m:t>4</m:t>
            </m:r>
          </m:sup>
        </m:sSup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关系下效果有限），但受法规</w:t>
      </w:r>
      <w:r>
        <w:rPr>
          <w:rFonts w:eastAsia="黑体"/>
        </w:rPr>
        <w:t xml:space="preserve"> EIRP </w:t>
      </w:r>
      <w:r>
        <w:rPr>
          <w:rFonts w:hint="eastAsia" w:eastAsia="黑体"/>
        </w:rPr>
        <w:t xml:space="preserve">限制。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天线增益</w:t>
      </w:r>
      <w:r>
        <w:rPr>
          <w:rFonts w:eastAsia="黑体"/>
          <w:b/>
          <w:bCs/>
        </w:rPr>
        <w:t xml:space="preserve"> G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读距提高、方向性增强，但覆盖角度变窄。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频率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从</w:t>
      </w:r>
      <w:r>
        <w:rPr>
          <w:rFonts w:eastAsia="黑体"/>
        </w:rPr>
        <w:t xml:space="preserve"> LF/HF </w:t>
      </w:r>
      <w:r>
        <w:rPr>
          <w:rFonts w:hint="eastAsia" w:eastAsia="黑体"/>
        </w:rPr>
        <w:t xml:space="preserve">的近场耦合转为</w:t>
      </w:r>
      <w:r>
        <w:rPr>
          <w:rFonts w:eastAsia="黑体"/>
        </w:rPr>
        <w:t xml:space="preserve"> UHF </w:t>
      </w:r>
      <w:r>
        <w:rPr>
          <w:rFonts w:hint="eastAsia" w:eastAsia="黑体"/>
        </w:rPr>
        <w:t xml:space="preserve">的远场反向散射，读距可达数米。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HF </w:t>
      </w:r>
      <w:r>
        <w:rPr>
          <w:rFonts w:hint="eastAsia" w:eastAsia="黑体"/>
        </w:rPr>
        <w:t xml:space="preserve">标签</w:t>
      </w:r>
      <w:r>
        <w:rPr>
          <w:rFonts w:eastAsia="黑体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3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13.56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MHz：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r>
              <m:t>13.56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6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×</m:t>
            </m:r>
            <m:r>
              <m:t>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den>
        </m:f>
        <m:r>
          <m:rPr>
            <m:sty m:val="p"/>
          </m:rPr>
          <m:t>≈</m:t>
        </m:r>
        <m:r>
          <m:t>45.9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UHF </w:t>
      </w:r>
      <w:r>
        <w:rPr>
          <w:rFonts w:hint="eastAsia" w:eastAsia="黑体"/>
        </w:rPr>
        <w:t xml:space="preserve">读头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W、</w:t>
      </w:r>
      <m:oMath>
        <m:r>
          <m:t>G</m:t>
        </m:r>
        <m:r>
          <m:rPr>
            <m:sty m:val="p"/>
          </m:rPr>
          <m:t>=</m:t>
        </m:r>
        <m:r>
          <m:t>6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dBi </w:t>
      </w:r>
      <w:r>
        <w:rPr>
          <w:rFonts w:hint="eastAsia" w:eastAsia="黑体"/>
        </w:rPr>
        <w:t xml:space="preserve">时，无源标签典型读距约数米量级。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HF </w:t>
      </w:r>
      <w:r>
        <w:rPr>
          <w:rFonts w:hint="eastAsia" w:eastAsia="黑体"/>
        </w:rPr>
        <w:t xml:space="preserve">读写芯片：MFRC522、PN5180、SLRC610。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UHF </w:t>
      </w:r>
      <w:r>
        <w:rPr>
          <w:rFonts w:hint="eastAsia" w:eastAsia="黑体"/>
        </w:rPr>
        <w:t xml:space="preserve">读写芯片：AS3992、R2000（英频杰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Indy）。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标签：NTAG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系列（HF）、Impinj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Monza（UHF）。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无源标签读距对谐振匹配极敏感，天线必须精确调谐到载波频率。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UHF </w:t>
      </w:r>
      <w:r>
        <w:rPr>
          <w:rFonts w:hint="eastAsia" w:eastAsia="黑体"/>
        </w:rPr>
        <w:t xml:space="preserve">受环境反射与多径影响大，金属、液体表面会严重衰减。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遵守当地频谱法规（EIRP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限制），UHF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频段各国略有差异。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HF </w:t>
      </w:r>
      <w:r>
        <w:rPr>
          <w:rFonts w:hint="eastAsia" w:eastAsia="黑体"/>
        </w:rPr>
        <w:t xml:space="preserve">标签天线圈数/尺寸决定电感与耦合，需与芯片电容匹配。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Radio-frequency identification。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NXP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AN11579 / Impinj UHF </w:t>
      </w:r>
      <w:r>
        <w:rPr>
          <w:rFonts w:hint="eastAsia" w:eastAsia="黑体"/>
        </w:rPr>
        <w:t xml:space="preserve">标签应用指南。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《射频识别（RFID）原理与应用》。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RFID射频识别电路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RFID射频识别电路</dc:title>
  <dc:creator>AI 智能体</dc:creator>
  <cp:keywords/>
  <dcterms:created xsi:type="dcterms:W3CDTF">2026-09-08T14:37:25Z</dcterms:created>
  <dcterms:modified xsi:type="dcterms:W3CDTF">2026-09-08T14:37:25Z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