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控整流电路"/>
    <w:p>
      <w:pPr>
        <w:pStyle w:val="Heading1"/>
      </w:pPr>
      <w:r>
        <w:rPr>
          <w:rFonts w:hint="eastAsia" w:eastAsia="黑体"/>
        </w:rPr>
        <w:t xml:space="preserve">全控整流电路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该电路由六只全控开关管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MOSFET/GTO，各反并联续流二极管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）、交流侧三相滤波电抗器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L1~L3）与直流母线电容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C1）组成的三相全控桥整流电路。关键节点定义如下：三相交流输入节点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（电网三相分别接滤波电抗器一端）；桥臂中点（开关节点）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（各相电抗器另一端接对应相桥臂的上下两管连接点）；直流母线正节点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（三个上管集电极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（三个下管发射极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负端相连），</w:t>
      </w:r>
      <m:oMath>
        <m:r>
          <m:t>P</m:t>
        </m:r>
      </m:oMath>
      <w:r>
        <w:rPr>
          <w:rFonts w:eastAsia="黑体"/>
        </w:rPr>
        <w:t xml:space="preserve">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为直流输出端子。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为上管接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为下管接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）；滤波电抗器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一端接电网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交流侧电感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直流侧电容”的全控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整流组态，开关元件均可主动导通与关断，通过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控制实现输出电压可调、功率因数可控、能量可双向流动（可逆变回馈）。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各全控开关在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驱动下按调制策略高速通断，控制交流侧电流的幅值与相位，使电网电流正弦化（通常达到单位功率因数），同时把直流侧电压稳定在设定值；由于开关可主动关断，还可实现逆变回馈，把直流侧能量送回交流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直流母线电压与交流线电压约束：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调制与输出（三相，dq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坐标系）有功功率：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交流侧基波电压方程：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单位功率因数条件：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无功功率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W, var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谐波减小、滤波器可缩小，但开关损耗增大、发热上升。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电流纹波与谐波变小，但动态响应变慢、体积增大。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母线纹波小、抗扰强，但体积成本与浪涌增大。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直流电压设定越高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控制裕量大、能输出更高电压，但器件耐压要求高。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输出电压畸变，小信号下失真明显。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，典型取</w:t>
      </w:r>
      <w:r>
        <w:rPr>
          <w:rFonts w:eastAsia="黑体"/>
        </w:rP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IGBT：英飞凌</w:t>
      </w:r>
      <w:r>
        <w:rPr>
          <w:rFonts w:eastAsia="黑体"/>
        </w:rPr>
        <w:t xml:space="preserve"> FF </w:t>
      </w:r>
      <w:r>
        <w:rPr>
          <w:rFonts w:hint="eastAsia" w:eastAsia="黑体"/>
        </w:rPr>
        <w:t xml:space="preserve">系列、三菱</w:t>
      </w:r>
      <w:r>
        <w:rPr>
          <w:rFonts w:eastAsia="黑体"/>
        </w:rPr>
        <w:t xml:space="preserve"> CM </w:t>
      </w:r>
      <w:r>
        <w:rPr>
          <w:rFonts w:hint="eastAsia" w:eastAsia="黑体"/>
        </w:rPr>
        <w:t xml:space="preserve">系列、富士</w:t>
      </w:r>
      <w:r>
        <w:rPr>
          <w:rFonts w:eastAsia="黑体"/>
        </w:rPr>
        <w:t xml:space="preserve"> 7MBR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MOSFET：英飞凌</w:t>
      </w:r>
      <w:r>
        <w:rPr>
          <w:rFonts w:eastAsia="黑体"/>
        </w:rPr>
        <w:t xml:space="preserve"> CoolMOS、ST Power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IC：英飞凌</w:t>
      </w:r>
      <w:r>
        <w:rPr>
          <w:rFonts w:eastAsia="黑体"/>
        </w:rPr>
        <w:t xml:space="preserve"> 1ED </w:t>
      </w:r>
      <w:r>
        <w:rPr>
          <w:rFonts w:hint="eastAsia" w:eastAsia="黑体"/>
        </w:rPr>
        <w:t xml:space="preserve">系列、TI</w:t>
      </w:r>
      <w:r>
        <w:rPr>
          <w:rFonts w:eastAsia="黑体"/>
        </w:rPr>
        <w:t xml:space="preserve"> UCC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DSP：TI</w:t>
      </w:r>
      <w:r>
        <w:rPr>
          <w:rFonts w:eastAsia="黑体"/>
        </w:rPr>
        <w:t xml:space="preserve"> TMS320F28379D / F28035。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需要精确的锁相环（PLL）实现网侧同相控制，维持高功率因数。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上电时直流母线需预充电，防止大浪涌电流冲击电容与开关。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必须设置同一桥臂上下管的死区时间，防止直通短路。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开关器件须配合散热与缓冲电路，控制开关浪涌与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Active rectification /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英飞凌官网：有源前端（AFE）应用笔记。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