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逆变电路"/>
    <w:p>
      <w:pPr>
        <w:pStyle w:val="Heading1"/>
      </w:pPr>
      <w:r>
        <w:rPr>
          <w:rFonts w:hint="eastAsia" w:eastAsia="黑体"/>
        </w:rPr>
        <w:t xml:space="preserve">半桥逆变电路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直流母线（电压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两只串联的功率开关管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（各反并联续流二极管）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两只分压电容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（构成中点</w:t>
      </w:r>
      <w:r>
        <w:rPr>
          <w:rFonts w:eastAsia="黑体"/>
          <w:b/>
          <w:bCs/>
        </w:rPr>
        <w:t xml:space="preserve"> </w:t>
      </w:r>
      <m:oMath>
        <m:r>
          <m:t>O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驱动电路、输出滤波与负载</w:t>
      </w:r>
      <w:r>
        <w:rPr>
          <w:rFonts w:eastAsia="黑体"/>
          <w:b/>
          <w:bCs/>
        </w:rPr>
        <w:t xml:space="preserve"> </w:t>
      </w:r>
      <m:oMath>
        <m:r>
          <m:t>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分压电容中点</w:t>
      </w:r>
      <w:r>
        <w:rPr>
          <w:rFonts w:eastAsia="黑体"/>
          <w:b/>
          <w:bCs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公共点）；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桥臂中点（开关节点）</w:t>
      </w:r>
      <m:oMath>
        <m:r>
          <m:t>M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连接点）；负载</w:t>
      </w:r>
      <w:r>
        <w:rPr>
          <w:rFonts w:eastAsia="黑体"/>
        </w:rPr>
        <w:t xml:space="preserve"> </w:t>
      </w:r>
      <m:oMath>
        <m:r>
          <m:t>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接在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接驱动；两管反并联二极管阳极接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；负载</w:t>
      </w:r>
      <w:r>
        <w:rPr>
          <w:rFonts w:eastAsia="黑体"/>
        </w:rPr>
        <w:t xml:space="preserve"> </w:t>
      </w:r>
      <m:oMath>
        <m:r>
          <m:t>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（输出经滤波后接负载）。</w:t>
      </w:r>
    </w:p>
    <w:p>
      <w:pPr/>
      <w:r>
        <w:rPr>
          <w:rFonts w:hint="eastAsia" w:eastAsia="黑体"/>
        </w:rPr>
        <w:t xml:space="preserve">由此构成”半桥两管串联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分压电容中点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负载跨接中点与开关节点”的半桥逆变组态，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交替导通使负载两端的电位在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之间切换，输出正负交替的方波交流电压。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上管导通时负载接正母线，输出为正；下管导通时负载接负母线，输出为负。两管交替通断使负载两端得到双极性方波，其基波为正弦，可加滤波或调频调压后作为交流电源。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输出方波幅值（直流母线中点分压）：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输出方波基波幅值（傅里叶展开）：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输出有效值（方波）：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每个开关管承受电压：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分压电容容值（纹波约束，近似）：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4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输出电压瞬时值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输出方波基波幅值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分压电容电压纹波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直流母线电压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与基波</w:t>
      </w:r>
      <w:r>
        <w:rPr>
          <w:rFonts w:eastAsia="黑体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线性增大，同时每管耐压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同步升高。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分压电容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中点电压纹波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t>C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减小、中点更稳定，但电容体积与成本上升。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分压电容纹波减小（容值需求下降），但开关损耗上升。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分压电容纹波线性增大，中点电位漂移加剧。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与全桥相比，半桥输出摆幅只有母线一半，相同输出功率下电流加倍、管子电流应力更大。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：输出方波幅值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150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，有效值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150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基波幅值</w:t>
      </w:r>
      <w:r>
        <w:rPr>
          <w:rFonts w:eastAsia="黑体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191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功率开关管：IRF840、STP12NM50、IPD60R280P7S。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栅极驱动（半桥）：IR2110、UCC21520、FAN7390。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分压电容：DC-Link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电解电容（如</w:t>
      </w:r>
      <w:r>
        <w:rPr>
          <w:rFonts w:eastAsia="黑体"/>
        </w:rPr>
        <w:t xml:space="preserve"> 450 V </w:t>
      </w:r>
      <w:r>
        <w:rPr>
          <w:rFonts w:hint="eastAsia" w:eastAsia="黑体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两只开关管严禁同时导通，需设置足够死区时间防止直通短路。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分压电容中点电位在不对称负载下会漂移，必要时加中点平衡控制。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半桥输出电压摆幅为母线一半，驱动感性/变压器负载时注意偏磁。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输出为方波，谐波丰富，对波形敏感负载需加滤波后再供电。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inverter / Half-bridge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栅极驱动数据手册</w:t>
      </w:r>
      <w:r>
        <w:rPr>
          <w:rFonts w:eastAsia="黑体"/>
        </w:rPr>
        <w:t xml:space="preserve"> UCC21520。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半桥逆变电路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