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弦波逆变电路"/>
    <w:p>
      <w:pPr>
        <w:pStyle w:val="Heading1"/>
      </w:pPr>
      <w:r>
        <w:rPr>
          <w:rFonts w:hint="eastAsia" w:eastAsia="黑体"/>
        </w:rPr>
        <w:t xml:space="preserve">正弦波逆变电路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全桥开关变换器（4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，各反并联续流二极管）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SPWM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LC </w:t>
      </w:r>
      <w:r>
        <w:rPr>
          <w:rFonts w:hint="eastAsia" w:eastAsia="黑体"/>
          <w:b/>
          <w:bCs/>
        </w:rPr>
        <w:t xml:space="preserve">输出滤波器（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（滤波电感、滤波电容与负载公共点）。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（桥的另一中点/输出回线）；负载并联在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由此构成”全桥开关变换</w:t>
      </w:r>
      <w:r>
        <w:rPr>
          <w:rFonts w:eastAsia="黑体"/>
        </w:rPr>
        <w:t xml:space="preserve"> + SPWM </w:t>
      </w:r>
      <w:r>
        <w:rPr>
          <w:rFonts w:hint="eastAsia" w:eastAsia="黑体"/>
        </w:rPr>
        <w:t xml:space="preserve">调制</w:t>
      </w:r>
      <w:r>
        <w:rPr>
          <w:rFonts w:eastAsia="黑体"/>
        </w:rPr>
        <w:t xml:space="preserve"> + LC </w:t>
      </w:r>
      <w:r>
        <w:rPr>
          <w:rFonts w:hint="eastAsia" w:eastAsia="黑体"/>
        </w:rPr>
        <w:t xml:space="preserve">低通滤波”的正弦波逆变组态，桥臂输出占空比按正弦规律变化的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脉冲，经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滤除高次谐波后得到与调制波同频的纯净正弦波，是高质量逆变电源（并网、UPS、变频器）的标准拓扑。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通过正弦调制波与三角载波比较，生成占空比按正弦规律变化的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脉冲驱动开关桥。桥臂输出含基波与开关频率附近的高次谐波，LC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滤波器衰减高次谐波后，负载得到与调制波同频率的平滑正弦电压。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滤波器截止频率：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滤波器特征阻抗：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载波比（频率调制比）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H, 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↑（≤1）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基波电压升高，线性区控制精度好，超过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进入过调制。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谐波频率升高、滤波更容易，但开关损耗增大。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截止频率下降、纹波减小，但体积成本上升、动态响应变慢。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输出电压能力提高，但器件耐压与母线电容成本上升。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，有效值约</w:t>
      </w:r>
      <w:r>
        <w:rPr>
          <w:rFonts w:eastAsia="黑体"/>
        </w:rPr>
        <w:t xml:space="preserve"> </w:t>
      </w:r>
      <m:oMath>
        <m:r>
          <m:t>254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，远高于基波、低于载波。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IGBT：FGH40N60SFD、IRG4PC50F。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MOSFET：IRFP460、STP40NF20。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DSP：TMS320F28335、STM32F103（PWM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外设）。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驱动：IR2110、HCPL-3120。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滤波器截止频率应远高于基波、远低于开关频率，避免落入谐振区。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死区时间会造成基波电压损失与波形畸变，需补偿。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阻性、感性、容性负载下滤波器谐振特性不同，需校验稳定性。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并网时需加同步锁相（PLL）与孤岛保护。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Sine wave inverter /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应用笔记（SPWM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与逆变器控制）。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正弦波逆变电路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