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离网逆变电路"/>
    <w:p>
      <w:pPr>
        <w:pStyle w:val="Heading1"/>
      </w:pPr>
      <w:r>
        <w:rPr>
          <w:rFonts w:hint="eastAsia" w:eastAsia="黑体"/>
        </w:rPr>
        <w:t xml:space="preserve">离网逆变电路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直流源（蓄电池/光伏）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桥式/推挽逆变器（以全桥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为例，各反并联续流二极管）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升压变压器（工频机）或</w:t>
      </w:r>
      <w:r>
        <w:rPr>
          <w:rFonts w:eastAsia="黑体"/>
          <w:b/>
          <w:bCs/>
        </w:rPr>
        <w:t xml:space="preserve"> DC–DC </w:t>
      </w:r>
      <w:r>
        <w:rPr>
          <w:rFonts w:hint="eastAsia" w:eastAsia="黑体"/>
          <w:b/>
          <w:bCs/>
        </w:rPr>
        <w:t xml:space="preserve">升压（高频机）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正弦波/方波调制、输出滤波（</w:t>
      </w:r>
      <m:oMath>
        <m:r>
          <m:t>L</m:t>
        </m:r>
        <m:r>
          <m:rPr>
            <m:sty m:val="p"/>
          </m:rPr>
          <m:t>,</m:t>
        </m:r>
        <m:r>
          <m:t>C</m:t>
        </m:r>
      </m:oMath>
      <w:r>
        <w:rPr>
          <w:rFonts w:hint="eastAsia" w:eastAsia="黑体"/>
          <w:b/>
          <w:bCs/>
        </w:rPr>
        <w:t xml:space="preserve">）与独立交流负载</w:t>
      </w:r>
      <w:r>
        <w:rPr>
          <w:rFonts w:eastAsia="黑体"/>
          <w:b/>
          <w:bCs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直流源母线正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  <w:b/>
          <w:bCs/>
        </w:rPr>
        <w:t xml:space="preserve">、负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升压后母线/中间节点</w:t>
      </w:r>
      <w:r>
        <w:rPr>
          <w:rFonts w:hint="eastAsia" w:eastAsia="黑体"/>
        </w:rPr>
        <w:t xml:space="preserve">（变压器或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升压输出）；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（滤波电感、电容与负载公共点）。</w:t>
      </w:r>
    </w:p>
    <w:p>
      <w:pPr/>
      <w:r>
        <w:rPr>
          <w:rFonts w:hint="eastAsia" w:eastAsia="黑体"/>
        </w:rPr>
        <w:t xml:space="preserve">各元件管脚连接：前级</w:t>
      </w:r>
      <w:r>
        <w:rPr>
          <w:rFonts w:eastAsia="黑体"/>
        </w:rPr>
        <w:t xml:space="preserve"> DC–DC </w:t>
      </w:r>
      <w:r>
        <w:rPr>
          <w:rFonts w:hint="eastAsia" w:eastAsia="黑体"/>
        </w:rPr>
        <w:t xml:space="preserve">升压或工频变压器把电池/光伏直流升到所需母线；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接调制驱动；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接调制驱动；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接调制驱动；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接调制驱动；各管反并联二极管阳极接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；负载</w:t>
      </w:r>
      <w:r>
        <w:rPr>
          <w:rFonts w:eastAsia="黑体"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之间。</w:t>
      </w:r>
    </w:p>
    <w:p>
      <w:pPr/>
      <w:r>
        <w:rPr>
          <w:rFonts w:hint="eastAsia" w:eastAsia="黑体"/>
        </w:rPr>
        <w:t xml:space="preserve">由此构成”直流源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桥式/推挽逆变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升压与输出滤波”的离网逆变组态，不依赖电网，由本机振荡器决定输出频率、独立把直流转换为固定幅值与频率的交流电供给本地负载（须自行保证电压稳定与谐波抑制）。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前级把电池直流升到所需母线电压，后级桥式逆变器用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SPWM（或方波/修正波）调制产生交流。输出电压和频率由本机振荡器决定，不跟踪电网，因此必须自行保证电压稳定与谐波抑制。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φ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直流输入功率：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整机效率：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蓄电池放电时间：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×</m:t>
              </m:r>
              <m:r>
                <m:t>D</m:t>
              </m:r>
              <m:r>
                <m:t>o</m:t>
              </m:r>
              <m:r>
                <m:t>D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>
                <m:t>η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输出频率（由振荡器）：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输出有功功率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输出电压、电流有效值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t>φ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负载功率因数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直流输入电压、电流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蓄电池容量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  <m:r>
                <m:t>o</m:t>
              </m:r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放电深度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供电持续时间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蓄电池容量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放电时间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线性增大，续航更久，但体积、重量与成本上升。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放电深度</w:t>
      </w:r>
      <w:r>
        <w:rPr>
          <w:rFonts w:eastAsia="黑体"/>
          <w:b/>
          <w:bCs/>
        </w:rPr>
        <w:t xml:space="preserve"> </w:t>
      </w:r>
      <m:oMath>
        <m:r>
          <m:t>D</m:t>
        </m:r>
        <m:r>
          <m:t>o</m:t>
        </m:r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可用电量增加、单次续航变长，但会缩短电池循环寿命。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输出功率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直流输入功率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增大、放电时间变短、器件电流应力上升。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效率</w:t>
      </w:r>
      <w:r>
        <w:rPr>
          <w:rFonts w:eastAsia="黑体"/>
          <w:b/>
          <w:bCs/>
        </w:rPr>
        <w:t xml:space="preserve"> </w:t>
      </w:r>
      <m:oMath>
        <m:r>
          <m:t>η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同等输出下直流输入功率下降，放电时间变长。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输出频率由本机振荡器周期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决定，与电网无关，需保证振荡精度以稳定输出频率。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cos</m:t>
        </m:r>
        <m:r>
          <m:t>φ</m:t>
        </m:r>
        <m:r>
          <m:rPr>
            <m:sty m:val="p"/>
          </m:rPr>
          <m:t>=</m:t>
        </m:r>
        <m:r>
          <m:t>0.9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220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990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、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/</m:t>
        </m:r>
        <m:r>
          <m:t>0.9</m:t>
        </m:r>
        <m:r>
          <m:rPr>
            <m:sty m:val="p"/>
          </m:rPr>
          <m:t>≈</m:t>
        </m:r>
        <m:r>
          <m:t>1111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Ah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t>o</m:t>
        </m:r>
        <m:r>
          <m:t>D</m:t>
        </m:r>
        <m:r>
          <m:rPr>
            <m:sty m:val="p"/>
          </m:rPr>
          <m:t>=</m:t>
        </m:r>
        <m:r>
          <m:t>0.8</m:t>
        </m:r>
      </m:oMath>
      <w:r>
        <w:rPr>
          <w:rFonts w:eastAsia="黑体"/>
        </w:rPr>
        <w:t xml:space="preserve">、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、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rPr>
          <w:rFonts w:hint="eastAsia" w:eastAsia="黑体"/>
        </w:rPr>
        <w:t xml:space="preserve">：</w:t>
      </w:r>
      <w:r>
        <w:rPr>
          <w:rFonts w:eastAsia="黑体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×</m:t>
        </m:r>
        <m:r>
          <m:t>0.8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1000</m:t>
        </m:r>
        <m:r>
          <m:rPr>
            <m:sty m:val="p"/>
          </m:rPr>
          <m:t>/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3.46</m:t>
        </m:r>
        <m:r>
          <m:t> 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功率开关管：IRF3205、IRFP460、STP80NF70。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栅极驱动：IR2110、UCC21520。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控制器：SG3525（方波/推挽）、EG8010（纯正弦波</w:t>
      </w:r>
      <w:r>
        <w:rPr>
          <w:rFonts w:eastAsia="黑体"/>
        </w:rPr>
        <w:t xml:space="preserve"> SPWM </w:t>
      </w:r>
      <w:r>
        <w:rPr>
          <w:rFonts w:hint="eastAsia" w:eastAsia="黑体"/>
        </w:rPr>
        <w:t xml:space="preserve">专用）。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输出电压、频率稳定完全靠自身，需良好反馈控制，负载突变时防止电压跌落。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感性/非线性负载（电机、整流型负载）瞬间启动电流大，需按冲击功率选额定值。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电池需配过放/过充保护与低压报警，DoD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不宜过大以保护寿命。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方波/修正波机型对部分电机与电子设备不适用，纯正弦波机型更通用。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inverter / Off-grid。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《高频开关电源与逆变器设计》。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EG8010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离网逆变电路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离网逆变电路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