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f-恒压频比变频电路"/>
    <w:p>
      <w:pPr>
        <w:pStyle w:val="Heading1"/>
      </w:pPr>
      <w:r>
        <w:rPr>
          <w:rFonts w:eastAsia="黑体"/>
        </w:rPr>
        <w:t xml:space="preserve">VF </w:t>
      </w:r>
      <w:r>
        <w:rPr>
          <w:rFonts w:hint="eastAsia" w:eastAsia="黑体"/>
        </w:rPr>
        <w:t xml:space="preserve">恒压频比变频电路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该电路由输入整流器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REC1（二极管整流桥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~</w:t>
      </w:r>
      <m:oMath>
        <m:sSub>
          <m:e>
            <m:r>
              <m:t>D</m:t>
            </m:r>
          </m:e>
          <m:sub>
            <m:r>
              <m:t>6</m:t>
            </m:r>
          </m:sub>
        </m:sSub>
      </m:oMath>
      <w:r>
        <w:rPr>
          <w:rFonts w:hint="eastAsia" w:eastAsia="黑体"/>
        </w:rPr>
        <w:t xml:space="preserve">）、直流母线电容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C1）与三相逆变桥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~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 w:eastAsia="黑体"/>
        </w:rPr>
        <w:t xml:space="preserve">（各反并联续流二极管）组成的交-直-交主电路，配以</w:t>
      </w:r>
      <w:r>
        <w:rPr>
          <w:rFonts w:eastAsia="黑体"/>
        </w:rPr>
        <w:t xml:space="preserve"> U/f </w:t>
      </w:r>
      <w:r>
        <w:rPr>
          <w:rFonts w:hint="eastAsia" w:eastAsia="黑体"/>
        </w:rPr>
        <w:t xml:space="preserve">恒定控制器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组成。关键节点定义如下：三相交流输入节点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接整流器</w:t>
      </w:r>
      <w:r>
        <w:rPr>
          <w:rFonts w:eastAsia="黑体"/>
        </w:rPr>
        <w:t xml:space="preserve"> REC1 </w:t>
      </w:r>
      <w:r>
        <w:rPr>
          <w:rFonts w:hint="eastAsia" w:eastAsia="黑体"/>
        </w:rPr>
        <w:t xml:space="preserve">的三个交流输入端；直流母线正节点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是整流器</w:t>
      </w:r>
      <w:r>
        <w:rPr>
          <w:rFonts w:eastAsia="黑体"/>
        </w:rPr>
        <w:t xml:space="preserve"> REC1 </w:t>
      </w:r>
      <w:r>
        <w:rPr>
          <w:rFonts w:hint="eastAsia" w:eastAsia="黑体"/>
        </w:rPr>
        <w:t xml:space="preserve">正输出、母线电容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正端与三个上管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集电极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C/漏极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的公共点；直流母线负节点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是整流器</w:t>
      </w:r>
      <w:r>
        <w:rPr>
          <w:rFonts w:eastAsia="黑体"/>
        </w:rPr>
        <w:t xml:space="preserve"> REC1 </w:t>
      </w:r>
      <w:r>
        <w:rPr>
          <w:rFonts w:hint="eastAsia" w:eastAsia="黑体"/>
        </w:rPr>
        <w:t xml:space="preserve">负输出、母线电容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负端与三个下管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发射极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E/源极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的公共点；三相逆变输出节点</w:t>
      </w:r>
      <w:r>
        <w:rPr>
          <w:rFonts w:eastAsia="黑体"/>
        </w:rP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是各相上下管桥臂中点，接到三相异步电机绕组；控制节点是控制器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输出的六路栅极驱动信号。</w:t>
      </w:r>
    </w:p>
    <w:p>
      <w:pPr/>
      <w:r>
        <w:rPr>
          <w:rFonts w:hint="eastAsia" w:eastAsia="黑体"/>
        </w:rPr>
        <w:t xml:space="preserve">各元件管脚连接（以</w:t>
      </w:r>
      <w:r>
        <w:rPr>
          <w:rFonts w:eastAsia="黑体"/>
        </w:rPr>
        <w:t xml:space="preserve"> U </w:t>
      </w:r>
      <w:r>
        <w:rPr>
          <w:rFonts w:hint="eastAsia" w:eastAsia="黑体"/>
        </w:rPr>
        <w:t xml:space="preserve">相为例，IGBT）：整流器</w:t>
      </w:r>
      <w:r>
        <w:rPr>
          <w:rFonts w:eastAsia="黑体"/>
        </w:rPr>
        <w:t xml:space="preserve"> REC1 </w:t>
      </w:r>
      <w:r>
        <w:rPr>
          <w:rFonts w:hint="eastAsia" w:eastAsia="黑体"/>
        </w:rPr>
        <w:t xml:space="preserve">的交流输入端接输入节点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rPr>
          <w:rFonts w:hint="eastAsia" w:eastAsia="黑体"/>
        </w:rPr>
        <w:t xml:space="preserve">，直流正输出端接正节点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、负输出端接负节点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；母线电容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；逆变桥上管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、发射极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接输出节点</w:t>
      </w:r>
      <w:r>
        <w:rPr>
          <w:rFonts w:eastAsia="黑体"/>
        </w:rPr>
        <w:t xml:space="preserve"> </w:t>
      </w:r>
      <m:oMath>
        <m:r>
          <m:t>U</m:t>
        </m:r>
      </m:oMath>
      <w:r>
        <w:rPr>
          <w:rFonts w:hint="eastAsia" w:eastAsia="黑体"/>
        </w:rPr>
        <w:t xml:space="preserve">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接控制器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U </w:t>
      </w:r>
      <w:r>
        <w:rPr>
          <w:rFonts w:hint="eastAsia" w:eastAsia="黑体"/>
        </w:rPr>
        <w:t xml:space="preserve">相上桥臂驱动；U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相下管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U</m:t>
        </m:r>
      </m:oMath>
      <w:r>
        <w:rPr>
          <w:rFonts w:hint="eastAsia" w:eastAsia="黑体"/>
        </w:rPr>
        <w:t xml:space="preserve">、发射极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接负节点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U </w:t>
      </w:r>
      <w:r>
        <w:rPr>
          <w:rFonts w:hint="eastAsia" w:eastAsia="黑体"/>
        </w:rPr>
        <w:t xml:space="preserve">相下桥臂驱动；</w:t>
      </w:r>
      <m:oMath>
        <m:r>
          <m:t>V</m:t>
        </m:r>
      </m:oMath>
      <w:r>
        <w:rPr>
          <w:rFonts w:eastAsia="黑体"/>
        </w:rPr>
        <w:t xml:space="preserve">、</w:t>
      </w:r>
      <m:oMath>
        <m:r>
          <m:t>W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两相由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按相同方式构成，各管栅极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均接控制器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对应输出；三相电机绕组分别接</w:t>
      </w:r>
      <w:r>
        <w:rPr>
          <w:rFonts w:eastAsia="黑体"/>
        </w:rP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由此构成”交-直-交整流逆变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恒压频比控制”的开环变频调速组态，输出电压与频率之比保持恒定，使电机磁通基本不变，实现异步电机的宽范围变频调速。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为保证异步电机在变频调速时主磁通不变、获得恒转矩特性，控制器在改变输出频率</w:t>
      </w:r>
      <w:r>
        <w:rPr>
          <w:rFonts w:eastAsia="黑体"/>
        </w:rPr>
        <w:t xml:space="preserve"> </w:t>
      </w:r>
      <m:oMath>
        <m:r>
          <m:t>f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的同时，按</w:t>
      </w:r>
      <w:r>
        <w:rPr>
          <w:rFonts w:eastAsia="黑体"/>
        </w:rPr>
        <w:t xml:space="preserve"> </w:t>
      </w:r>
      <m:oMath>
        <m:r>
          <m:t>V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rPr>
            <m:nor/>
            <m:sty m:val="p"/>
          </m:rPr>
          <m:t>常数</m:t>
        </m:r>
      </m:oMath>
      <w:r>
        <w:rPr>
          <w:rFonts w:hint="eastAsia" w:eastAsia="黑体"/>
        </w:rPr>
        <w:t xml:space="preserve">调整输出电压</w:t>
      </w:r>
      <w:r>
        <w:rPr>
          <w:rFonts w:eastAsia="黑体"/>
        </w:rPr>
        <w:t xml:space="preserve"> </w:t>
      </w:r>
      <m:oMath>
        <m:r>
          <m:t>V</m:t>
        </m:r>
      </m:oMath>
      <w:r>
        <w:rPr>
          <w:rFonts w:hint="eastAsia" w:eastAsia="黑体"/>
        </w:rPr>
        <w:t xml:space="preserve">（低速时适当补偿定子电阻压降）。逆变桥经</w:t>
      </w:r>
      <w:r>
        <w:rPr>
          <w:rFonts w:eastAsia="黑体"/>
        </w:rPr>
        <w:t xml:space="preserve"> SPWM </w:t>
      </w:r>
      <w:r>
        <w:rPr>
          <w:rFonts w:hint="eastAsia" w:eastAsia="黑体"/>
        </w:rPr>
        <w:t xml:space="preserve">生成相应电压与频率的三相交流。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恒压频比控制：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常数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输出相电压幅值（SPWM）：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同步转速：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  <m:r>
                <m:t>f</m:t>
              </m:r>
            </m:num>
            <m:den>
              <m:r>
                <m:t>p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转差率：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最大转矩（近似）：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∝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V</m:t>
                      </m:r>
                    </m:num>
                    <m:den>
                      <m:r>
                        <m:t>f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同步转速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r/min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实际转速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r/min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转差率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电机磁极对数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V</m:t>
        </m:r>
        <m:r>
          <m:rPr>
            <m:sty m:val="p"/>
          </m:rPr>
          <m:t>/</m:t>
        </m:r>
        <m:r>
          <m:t>f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比值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磁通增大、转矩能力提高，但磁路易饱和、励磁电流剧增。</w:t>
      </w:r>
    </w:p>
    <w:p>
      <w:pPr>
        <w:pStyle w:val="Compact"/>
        <w:numPr>
          <w:ilvl w:val="0"/>
          <w:numId w:val="1002"/>
        </w:numPr>
      </w:pPr>
      <m:oMath>
        <m:r>
          <m:t>V</m:t>
        </m:r>
        <m:r>
          <m:rPr>
            <m:sty m:val="p"/>
          </m:rPr>
          <m:t>/</m:t>
        </m:r>
        <m:r>
          <m:t>f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比值</w:t>
      </w:r>
      <w:r>
        <w:rPr>
          <w:rFonts w:eastAsia="黑体"/>
          <w:b/>
          <w:bCs/>
        </w:rPr>
        <w:t xml:space="preserve">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磁通减弱，输出转矩下降，高速恒功率区常用。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低频补偿电压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改善低速转矩（补偿定子电阻压降），但过热风险上升。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直流母线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电压上限提高，可覆盖更高频率段。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取额定</w:t>
      </w:r>
      <w:r>
        <w:rPr>
          <w:rFonts w:eastAsia="黑体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380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：压频比</w:t>
      </w:r>
      <w:r>
        <w:rPr>
          <w:rFonts w:eastAsia="黑体"/>
        </w:rPr>
        <w:t xml:space="preserve"> </w:t>
      </w:r>
      <m:oMath>
        <m:f>
          <m:fPr>
            <m:type m:val="bar"/>
          </m:fPr>
          <m:num>
            <m:r>
              <m:t>V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380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7.6</m:t>
        </m:r>
        <m:r>
          <m:t> </m:t>
        </m:r>
        <m:r>
          <m:rPr>
            <m:nor/>
            <m:sty m:val="p"/>
          </m:rPr>
          <m:t>V/Hz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频率降到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时，按恒比输出</w:t>
      </w:r>
      <w:r>
        <w:rPr>
          <w:rFonts w:eastAsia="黑体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152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（另加低频补偿）。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控制器：TMS320F28035、STM32F103。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IPM </w:t>
      </w:r>
      <w:r>
        <w:rPr>
          <w:rFonts w:hint="eastAsia" w:eastAsia="黑体"/>
        </w:rPr>
        <w:t xml:space="preserve">功率模块：PM50RLA120、FSAM30SH60A。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IGBT </w:t>
      </w:r>
      <w:r>
        <w:rPr>
          <w:rFonts w:hint="eastAsia" w:eastAsia="黑体"/>
        </w:rPr>
        <w:t xml:space="preserve">模块：CM75DU-24H。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恒压频比属开环控制，低速、负载突变时转矩与转速稳定性差。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低频段需按定子电阻压降补偿，否则转矩明显下降。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必须设置最低、最高频率限制，防止电机过磁饱和或超速。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加速/减速需设定斜坡时间，防止过流与失速。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《电力拖动自动控制系统》（陈伯时）。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Variable-frequency drive。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VF恒压频比变频电路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VF恒压频比变频电路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