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桥结构"/>
    <w:p>
      <w:pPr>
        <w:pStyle w:val="Heading1"/>
      </w:pPr>
      <w:r>
        <w:rPr>
          <w:rFonts w:hint="eastAsia" w:eastAsia="黑体"/>
        </w:rPr>
        <w:t xml:space="preserve">全桥结构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四个开关元件（MOSFET/IGBT）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组成完整桥式拓扑，负载跨接在左右两臂中点。电路共有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电源正端（直流母线）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与左侧上管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D、右侧上管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地端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（与左侧下管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S、右侧下管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左臂中点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与负载一端相连）；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右臂中点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与负载另一端相连）。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接电源正端、S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接左臂中点</w:t>
      </w:r>
      <w:r>
        <w:rPr>
          <w:rFonts w:eastAsia="黑体"/>
        </w:rPr>
        <w:t xml:space="preserve"> A、G </w:t>
      </w:r>
      <w:r>
        <w:rPr>
          <w:rFonts w:hint="eastAsia" w:eastAsia="黑体"/>
        </w:rPr>
        <w:t xml:space="preserve">接左臂上管驱动；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接左臂中点</w:t>
      </w:r>
      <w:r>
        <w:rPr>
          <w:rFonts w:eastAsia="黑体"/>
        </w:rPr>
        <w:t xml:space="preserve"> A、S </w:t>
      </w:r>
      <w:r>
        <w:rPr>
          <w:rFonts w:hint="eastAsia" w:eastAsia="黑体"/>
        </w:rPr>
        <w:t xml:space="preserve">接地端、G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接左臂下管驱动；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接电源正端、S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接右臂中点</w:t>
      </w:r>
      <w:r>
        <w:rPr>
          <w:rFonts w:eastAsia="黑体"/>
        </w:rPr>
        <w:t xml:space="preserve"> B、G </w:t>
      </w:r>
      <w:r>
        <w:rPr>
          <w:rFonts w:hint="eastAsia" w:eastAsia="黑体"/>
        </w:rPr>
        <w:t xml:space="preserve">接右臂上管驱动；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接右臂中点</w:t>
      </w:r>
      <w:r>
        <w:rPr>
          <w:rFonts w:eastAsia="黑体"/>
        </w:rPr>
        <w:t xml:space="preserve"> B、S </w:t>
      </w:r>
      <w:r>
        <w:rPr>
          <w:rFonts w:hint="eastAsia" w:eastAsia="黑体"/>
        </w:rPr>
        <w:t xml:space="preserve">接地端、G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接右臂下管驱动；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一端接左臂中点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A、另一端接右臂中点</w:t>
      </w:r>
      <w:r>
        <w:rPr>
          <w:rFonts w:eastAsia="黑体"/>
        </w:rPr>
        <w:t xml:space="preserve"> B。</w:t>
      </w:r>
    </w:p>
    <w:p>
      <w:pPr/>
      <w:r>
        <w:rPr>
          <w:rFonts w:hint="eastAsia" w:eastAsia="黑体"/>
        </w:rPr>
        <w:t xml:space="preserve">由此构成”四只开关组成完整两臂、每臂中点独立切换”的全桥组态，能输出双极性电压，广泛用于全桥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DC-DC、逆变、电机双向驱动与大功率电源。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四只开关成对交替导通，可在负载上施加正、负两个方向的电压，也可通过对角开关的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调制输出电压平均值。它兼具极性反转与四象限运行能力，是半桥的双臂扩展。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输出电压（两臂占空比差）：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D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电感电流纹波（输出滤波电感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L</m:t>
              </m:r>
            </m:den>
          </m:f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输出电压峰峰值：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单管导通损耗：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电流纹波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D↑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输出电压由负到正线性增大。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母线电压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输出功率与电压摆幅增大，需匹配器件耐压。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开关频率↑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纹波减小、输出更平滑，但开关损耗增加。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滤波电感</w:t>
      </w:r>
      <w:r>
        <w:rPr>
          <w:rFonts w:eastAsia="黑体"/>
          <w:b/>
          <w:bCs/>
        </w:rPr>
        <w:t xml:space="preserve"> L↑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电流纹波下降，动态响应变慢。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0.75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0.75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50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 w:eastAsia="黑体"/>
        </w:rPr>
        <w:t xml:space="preserve">）、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  <m:r>
              <m:rPr>
                <m:sty m:val="p"/>
              </m:rPr>
              <m:t>−</m:t>
            </m:r>
            <m:r>
              <m:t>12</m:t>
            </m:r>
          </m:num>
          <m:den>
            <m:r>
              <m:t>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×</m:t>
        </m:r>
        <m:r>
          <m:t>0.75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0.9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MOSFET：IRF3205、IRFZ44N、CSD19536KCS。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全桥驱动器：IR2104（双半桥）、DRV8701、HIP4081。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同一桥臂上下管严禁直通，须设置死区时间。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全桥比半桥器件数目多、成本高，但电压利用率与输出能力更强。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感性负载需提供续流路径，防止关断尖峰。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H-bridge。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TI DRV8701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Infineon / TI </w:t>
      </w:r>
      <w:r>
        <w:rPr>
          <w:rFonts w:hint="eastAsia" w:eastAsia="黑体"/>
        </w:rPr>
        <w:t xml:space="preserve">全桥驱动应用笔记。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全桥结构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全桥结构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