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h-桥结构"/>
    <w:p>
      <w:pPr>
        <w:pStyle w:val="Heading1"/>
      </w:pPr>
      <w:r>
        <w:rPr>
          <w:rFonts w:eastAsia="黑体"/>
        </w:rPr>
        <w:t xml:space="preserve">H </w:t>
      </w:r>
      <w:r>
        <w:rPr>
          <w:rFonts w:hint="eastAsia" w:eastAsia="黑体"/>
        </w:rPr>
        <w:t xml:space="preserve">桥结构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四个开关元件（MOSFET/晶体管）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组成”H”形桥臂，上、下桥臂分别接电源正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电源正端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与左侧上管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D、右侧上管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地端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（与左侧下管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S、右侧下管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左桥臂中点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右桥臂中点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接电源正端、S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接左桥臂中点</w:t>
      </w:r>
      <w:r>
        <w:rPr>
          <w:rFonts w:eastAsia="黑体"/>
        </w:rPr>
        <w:t xml:space="preserve"> A、G </w:t>
      </w:r>
      <w:r>
        <w:rPr>
          <w:rFonts w:hint="eastAsia" w:eastAsia="黑体"/>
        </w:rPr>
        <w:t xml:space="preserve">接左臂上管驱动；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接左桥臂中点</w:t>
      </w:r>
      <w:r>
        <w:rPr>
          <w:rFonts w:eastAsia="黑体"/>
        </w:rPr>
        <w:t xml:space="preserve"> A、S </w:t>
      </w:r>
      <w:r>
        <w:rPr>
          <w:rFonts w:hint="eastAsia" w:eastAsia="黑体"/>
        </w:rPr>
        <w:t xml:space="preserve">接地端、G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接左臂下管驱动；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接电源正端、S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接右桥臂中点</w:t>
      </w:r>
      <w:r>
        <w:rPr>
          <w:rFonts w:eastAsia="黑体"/>
        </w:rPr>
        <w:t xml:space="preserve"> B、G </w:t>
      </w:r>
      <w:r>
        <w:rPr>
          <w:rFonts w:hint="eastAsia" w:eastAsia="黑体"/>
        </w:rPr>
        <w:t xml:space="preserve">接右臂上管驱动；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接右桥臂中点</w:t>
      </w:r>
      <w:r>
        <w:rPr>
          <w:rFonts w:eastAsia="黑体"/>
        </w:rPr>
        <w:t xml:space="preserve"> B、S </w:t>
      </w:r>
      <w:r>
        <w:rPr>
          <w:rFonts w:hint="eastAsia" w:eastAsia="黑体"/>
        </w:rPr>
        <w:t xml:space="preserve">接地端、G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接右臂下管驱动；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一端接左桥臂中点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A、另一端接右桥臂中点</w:t>
      </w:r>
      <w:r>
        <w:rPr>
          <w:rFonts w:eastAsia="黑体"/>
        </w:rPr>
        <w:t xml:space="preserve"> B。</w:t>
      </w:r>
    </w:p>
    <w:p>
      <w:pPr/>
      <w:r>
        <w:rPr>
          <w:rFonts w:hint="eastAsia" w:eastAsia="黑体"/>
        </w:rPr>
        <w:t xml:space="preserve">由此构成”四只开关组成两桥臂、负载跨接于左右桥臂中点”的全桥（H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桥）组态，通过成对导通对角开关使负载电压反向，用于电机正反转、双向驱动与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调速。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对角开关对（如左上+右下）导通时电流沿一个方向流过负载；换为另一对角开关对导通时电流反向。由此在负载上得到可切换极性的电压，配合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可调节输出电压平均值。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桥臂中点电压（左臂开关占空比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负载端电压（两桥臂占空比之差）：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负载平均电流：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开关导通损耗：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两桥臂中点电压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PWM </w:t>
            </w: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负载端平均电压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占空比差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负载平均电压上升（差值越大调速越接近满幅）。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负载电压、电流同步上升，需注意器件耐压。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开关导通电阻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  <w:b/>
          <w:bCs/>
        </w:rPr>
        <w:t xml:space="preserve">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导通损耗下降、效率提高、发热减小。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开关频率↑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纹波减小但开关损耗增大。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0.25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0.75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，若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，单管导通损耗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MOSFET：IRFZ44N、IRF3205、AO3400。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集成电机驱动：L298N（双</w:t>
      </w:r>
      <w:r>
        <w:rPr>
          <w:rFonts w:eastAsia="黑体"/>
        </w:rPr>
        <w:t xml:space="preserve"> H </w:t>
      </w:r>
      <w:r>
        <w:rPr>
          <w:rFonts w:hint="eastAsia" w:eastAsia="黑体"/>
        </w:rPr>
        <w:t xml:space="preserve">桥）、L293D、DRV8833、TB6612FNG。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严禁同一桥臂上下两管同时导通（直通/穿通），需设置死区时间。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感性负载（电机）需加续流二极管或利用体二极管保护开关。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大电流时需保证散热与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走线载流能力。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H-bridge。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TI DRV8833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ST L298N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H桥结构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H桥结构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