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达林顿复合结构"/>
    <w:p>
      <w:pPr>
        <w:pStyle w:val="Heading1"/>
      </w:pPr>
      <w:r>
        <w:rPr>
          <w:rFonts w:hint="eastAsia" w:eastAsia="黑体"/>
        </w:rPr>
        <w:t xml:space="preserve">达林顿复合结构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本结构由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两个（或多于两个）三极管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Q1（前级）、Q2（后级）级联复合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组成，前一级发射极直接驱动后一级基极。关键节点命名如下：基极输入节点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为前级管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的基极（信号/激励入口），集电极节点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为两管集电极的公共连接点并接负载或电源，发射极输出节点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为后级管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的发射极（输出端），地节点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为参考，中间节点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  <m:r>
              <m:t>1</m:t>
            </m:r>
            <m:r>
              <m:t>B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发射极与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基极的直接连接点。</w:t>
      </w:r>
    </w:p>
    <w:p>
      <w:pPr/>
      <w:r>
        <w:rPr>
          <w:rFonts w:hint="eastAsia" w:eastAsia="黑体"/>
        </w:rPr>
        <w:t xml:space="preserve">各支路连接：前级管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接基极输入节点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，其集电极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接集电极节点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，其发射极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  <m:r>
              <m:t>1</m:t>
            </m:r>
            <m:r>
              <m:t>B</m:t>
            </m:r>
            <m:r>
              <m:t>2</m:t>
            </m:r>
          </m:sub>
        </m:sSub>
      </m:oMath>
      <w:r>
        <w:rPr>
          <w:rFonts w:hint="eastAsia" w:eastAsia="黑体"/>
        </w:rPr>
        <w:t xml:space="preserve">；后级管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的发射极直接相连、共同接在中间节点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  <m:r>
              <m:t>1</m:t>
            </m:r>
            <m:r>
              <m:t>B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上，Q2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同样接集电极节点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（与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集电极相连），Q2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接发射极输出节点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作为复合管输出；负载接于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（或电源与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）之间。前级放大的发射极电流全部注入后级基极，使总电流增益等于两级增益之积。</w:t>
      </w:r>
    </w:p>
    <w:p>
      <w:pPr/>
      <w:r>
        <w:rPr>
          <w:rFonts w:hint="eastAsia" w:eastAsia="黑体"/>
        </w:rPr>
        <w:t xml:space="preserve">组态上，这是前级射极直接驱动后级基极、两管集电极相连的三极管级联复合组态，等效为单个高电流增益晶体管，广泛用于功率驱动、射极跟随与达林顿对管。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前级管放大的发射极电流直接注入后级管基极，使总电流增益等于两管增益之积，从而用小基极电流控制大集电极电流，实现高倍电流放大与高输入阻抗。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总电流增益（两管复合）：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集电极电流：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基极-发射极总压降（两管串联）：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t>2</m:t>
              </m:r>
            </m:sub>
          </m:sSub>
          <m:r>
            <m:rPr>
              <m:sty m:val="p"/>
            </m:rPr>
            <m:t>≈</m:t>
          </m:r>
          <m:r>
            <m:t>1.2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黑体"/>
        </w:rPr>
        <w:t xml:space="preserve">达林顿饱和压降：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t>1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各级电流增益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复合总电流增益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基极电流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集电极电流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结压降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管压降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级数↑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总电流增益成倍增大，但总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压降也叠加升高。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前级</w:t>
      </w:r>
      <w:r>
        <w:rPr>
          <w:rFonts w:eastAsia="黑体"/>
          <w:b/>
          <w:bCs/>
        </w:rPr>
        <w:t xml:space="preserve"> β↑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整体增益与输入灵敏度提升。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驱动电流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集电极电流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增大（线性区内）。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</w:rPr>
        <w:t xml:space="preserve">达林顿饱和压降约为普通管两倍，低电压应用效率受影响。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β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100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10000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10000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；总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≈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达林顿对管：TIP122（NPN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达林顿）、TIP127（PNP）、ULN2003（7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路达林顿阵列）、2N6284。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达林顿饱和压降高（约</w:t>
      </w:r>
      <w:r>
        <w:rPr>
          <w:rFonts w:eastAsia="黑体"/>
        </w:rPr>
        <w:t xml:space="preserve"> 1 V </w:t>
      </w:r>
      <w:r>
        <w:rPr>
          <w:rFonts w:hint="eastAsia" w:eastAsia="黑体"/>
        </w:rPr>
        <w:t xml:space="preserve">以上），低压大电流场合损耗较大。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开关速度慢于单管（存储效应），高频/高速场合需加泄放电阻。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高增益下易受噪声与温度影响，稳定性需关注。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Darlington transistor。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TI / ST ULN2003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达林顿复合结构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达林顿复合结构</dc:title>
  <dc:creator>AI 智能体</dc:creator>
  <cp:keywords/>
  <dcterms:created xsi:type="dcterms:W3CDTF">2026-09-08T14:37:31Z</dcterms:created>
  <dcterms:modified xsi:type="dcterms:W3CDTF">2026-09-08T14:37:31Z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