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正负双电源稳压电路"/>
    <w:p>
      <w:pPr>
        <w:pStyle w:val="Heading1"/>
      </w:pPr>
      <w:r>
        <w:rPr>
          <w:rFonts w:hint="eastAsia" w:eastAsia="黑体"/>
        </w:rPr>
        <w:t xml:space="preserve">正负双电源稳压电路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带中心抽头的变压器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（或整流桥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正压稳压器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（78xx）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负压稳压器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（79xx）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变压器次级上端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次级一端与正支路整流二极管阳极相连）；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中心抽头</w:t>
      </w:r>
      <w:r>
        <w:rPr>
          <w:rFonts w:eastAsia="黑体"/>
          <w:b/>
          <w:bCs/>
        </w:rPr>
        <w:t xml:space="preserve"> CT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次级中心抽头与公共地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变压器次级下端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次级另一端与负支路整流二极管阴极相连）；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（正支路整流二极管阴极、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作为正输出）；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（负支路整流二极管阳极、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作为负输出）；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（CT、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的公共脚</w:t>
      </w:r>
      <w:r>
        <w:rPr>
          <w:rFonts w:eastAsia="黑体"/>
        </w:rPr>
        <w:t xml:space="preserve"> GND、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的公共脚</w:t>
      </w:r>
      <w:r>
        <w:rPr>
          <w:rFonts w:eastAsia="黑体"/>
        </w:rPr>
        <w:t xml:space="preserve"> GND、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另一端五者相连）。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初级接交流输入，次级一端接节点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a、次级中心抽头接节点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CT、次级另一端接节点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（或正支路整流二极管）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a、阴极接正输入节点；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（或负支路整流二极管）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阳极接负输入节点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、阴极接节点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一端接正输入节点、另一端接地节点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一端接负输入节点、另一端接地节点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接正输入节点、OUT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接负输入节点、OUT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由此构成”以次级中心抽头为公共地、正负两路独立整流滤波后再由</w:t>
      </w:r>
      <w:r>
        <w:rPr>
          <w:rFonts w:eastAsia="黑体"/>
        </w:rPr>
        <w:t xml:space="preserve"> 78xx/79xx </w:t>
      </w:r>
      <w:r>
        <w:rPr>
          <w:rFonts w:hint="eastAsia" w:eastAsia="黑体"/>
        </w:rPr>
        <w:t xml:space="preserve">分别稳压”的对称双电源组态，得到对称输出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V</m:t>
        </m:r>
      </m:oMath>
      <w:r>
        <w:rPr>
          <w:rFonts w:hint="eastAsia" w:eastAsia="黑体"/>
        </w:rPr>
        <w:t xml:space="preserve">，为需要对称供电的模拟电路提供</w:t>
      </w:r>
      <w:r>
        <w:rPr>
          <w:rFonts w:eastAsia="黑体"/>
        </w:rPr>
        <w:t xml:space="preserve"> ±V </w:t>
      </w:r>
      <w:r>
        <w:rPr>
          <w:rFonts w:hint="eastAsia" w:eastAsia="黑体"/>
        </w:rPr>
        <w:t xml:space="preserve">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变压器次级中心抽头接地后，正半周向正支路充电、负半周向负支路充电，两路各自整流滤波再经各自稳压器稳压。正支路用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7815、负支路用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7915，分别得到</w:t>
      </w:r>
      <w:r>
        <w:rPr>
          <w:rFonts w:eastAsia="黑体"/>
        </w:rPr>
        <w:t xml:space="preserve"> +15 V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-15 </w:t>
      </w:r>
      <w:r>
        <w:rPr>
          <w:rFonts w:hint="eastAsia" w:eastAsia="黑体"/>
        </w:rPr>
        <w:t xml:space="preserve">V，大地为公共参考。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各路输出（正支路与负支路对称）：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滤波电容选择（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为单路输出电流，</w:t>
      </w:r>
      <m:oMath>
        <m:sSub>
          <m:e>
            <m:r>
              <m:t>f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为全波整流纹波频率即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倍工频）：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稳压器压差要求：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2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t>78</m:t>
          </m:r>
          <m:r>
            <m:t>x</m:t>
          </m:r>
          <m:r>
            <m:t>x</m:t>
          </m:r>
          <m:r>
            <m:rPr>
              <m:sty m:val="p"/>
            </m:rPr>
            <m:t>/</m:t>
          </m:r>
          <m:r>
            <m:t>79</m:t>
          </m:r>
          <m:r>
            <m:t>x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稳压器功耗（单路）：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变压器次级交流有效值（近似，含整流与裕量）：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1.2</m:t>
              </m:r>
              <m:r>
                <m:rPr>
                  <m:sty m:val="p"/>
                </m:rPr>
                <m:t>∼</m:t>
              </m:r>
              <m:r>
                <m:t>1.4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正、负输出电压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稳压器额定电压（如</w:t>
            </w:r>
            <w:r>
              <w:rPr>
                <w:rFonts w:eastAsia="黑体"/>
              </w:rPr>
              <w:t xml:space="preserve"> 15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单路稳压器功耗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纹波减小、输出更平直，但上电冲击电流增大。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A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稳压裕量足，但稳压器功耗与发热增加。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两路负载不平衡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中心抽头电流不对称，变压器需具备相应容量。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正负稳压器型号需分别选</w:t>
      </w:r>
      <w:r>
        <w:rPr>
          <w:rFonts w:eastAsia="黑体"/>
          <w:b/>
          <w:bCs/>
        </w:rPr>
        <w:t xml:space="preserve"> 78xx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79xx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接线脚位不同，不能混用。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目标</w:t>
      </w:r>
      <w:r>
        <w:rPr>
          <w:rFonts w:eastAsia="黑体"/>
        </w:rPr>
        <w:t xml:space="preserve"> ±15 </w:t>
      </w:r>
      <w:r>
        <w:rPr>
          <w:rFonts w:hint="eastAsia" w:eastAsia="黑体"/>
        </w:rPr>
        <w:t xml:space="preserve">V，取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(</m:t>
            </m:r>
            <m:r>
              <m:t>d</m:t>
            </m:r>
            <m:r>
              <m:t>c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：单路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18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滤波电容：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r>
              <m:t>100</m:t>
            </m:r>
          </m:den>
        </m:f>
        <m:r>
          <m:rPr>
            <m:sty m:val="p"/>
          </m:rPr>
          <m:t>=</m:t>
        </m:r>
        <m:r>
          <m:t>10</m:t>
        </m:r>
        <m:r>
          <m:t> </m:t>
        </m:r>
        <m:r>
          <m:t>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正压：7815、7812、7809；负压：7915、7912、7909。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低压差双路替代：LM317/LM337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构成可调双电源。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整流二极管：1N4007、1N5408；整流桥：KBPC、GBU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79xx </w:t>
      </w:r>
      <w:r>
        <w:rPr>
          <w:rFonts w:hint="eastAsia" w:eastAsia="黑体"/>
        </w:rPr>
        <w:t xml:space="preserve">引脚排列与</w:t>
      </w:r>
      <w:r>
        <w:rPr>
          <w:rFonts w:eastAsia="黑体"/>
        </w:rPr>
        <w:t xml:space="preserve"> 78xx </w:t>
      </w:r>
      <w:r>
        <w:rPr>
          <w:rFonts w:hint="eastAsia" w:eastAsia="黑体"/>
        </w:rPr>
        <w:t xml:space="preserve">不同（输入/输出/地位置相异），接线前务必核对数据手册。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变压器中心抽头必须真正接地，且滤波电容极性正确，否则会损坏稳压器或电容。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正负负载最好对称，避免单路过载；每路稳压器都要遵守压差与散热要求。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LM78xx / LM79xx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Linear regulator。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正负双电源稳压电路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正负双电源稳压电路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