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交错并联-buck-电路"/>
    <w:p>
      <w:pPr>
        <w:pStyle w:val="Heading1"/>
      </w:pPr>
      <w:r>
        <w:rPr>
          <w:rFonts w:hint="eastAsia" w:eastAsia="黑体"/>
        </w:rPr>
        <w:t xml:space="preserve">交错并联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电路由两路（或多路）结构相同的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降压单元并联组成，每路含一个开关管、一个续流二极管（或同步整流管）与一个输出电感，共享同一输入与输出。以两路为例，元件为开关管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Q1、Q2，续流二极管（或同步整流管）D1、D2，输出电感</w:t>
      </w:r>
      <w:r>
        <w:rPr>
          <w:rFonts w:eastAsia="黑体"/>
        </w:rPr>
        <w:t xml:space="preserve"> L1、L2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C。关键节点如下：公共输入节点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同时接两路开关管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的漏极；每路的开关节点</w:t>
      </w:r>
      <w:r>
        <w:rPr>
          <w:rFonts w:eastAsia="黑体"/>
        </w:rPr>
        <w:t xml:space="preserve"> SW1、SW2 </w:t>
      </w:r>
      <w:r>
        <w:rPr>
          <w:rFonts w:hint="eastAsia" w:eastAsia="黑体"/>
        </w:rPr>
        <w:t xml:space="preserve">分别由开关管源极、二极管阴极（或同步管漏极）与电感入端相连而成；公共输出节点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由两路电感</w:t>
      </w:r>
      <w:r>
        <w:rPr>
          <w:rFonts w:eastAsia="黑体"/>
        </w:rPr>
        <w:t xml:space="preserve"> L1、L2 </w:t>
      </w:r>
      <w:r>
        <w:rPr>
          <w:rFonts w:hint="eastAsia" w:eastAsia="黑体"/>
        </w:rPr>
        <w:t xml:space="preserve">的出端与输出电容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的上端相连并接负载，输出电容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的下端与两路二极管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的阳极（或同步管源极）一并接地。</w:t>
      </w:r>
    </w:p>
    <w:p>
      <w:pPr/>
      <w:r>
        <w:rPr>
          <w:rFonts w:hint="eastAsia" w:eastAsia="黑体"/>
        </w:rPr>
        <w:t xml:space="preserve">各元件管脚连接：开关管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的漏极接公共输入节点、源极各接本路开关节点、栅极接相位交错的驱动信号（两路相差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180°）；续流二极管</w:t>
      </w:r>
      <w:r>
        <w:rPr>
          <w:rFonts w:eastAsia="黑体"/>
        </w:rPr>
        <w:t xml:space="preserve"> D1、D2 </w:t>
      </w:r>
      <w:r>
        <w:rPr>
          <w:rFonts w:hint="eastAsia" w:eastAsia="黑体"/>
        </w:rPr>
        <w:t xml:space="preserve">的阴极各接本路开关节点、阳极接地（若用同步整流管则其漏极接开关节点、源极接地、栅极接互补驱动）；输出电感</w:t>
      </w:r>
      <w:r>
        <w:rPr>
          <w:rFonts w:eastAsia="黑体"/>
        </w:rPr>
        <w:t xml:space="preserve"> L1、L2 </w:t>
      </w:r>
      <w:r>
        <w:rPr>
          <w:rFonts w:hint="eastAsia" w:eastAsia="黑体"/>
        </w:rPr>
        <w:t xml:space="preserve">一端各接本路开关节点、另一端并接公共输出节点；输出电容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一端接公共输出节点、另一端接地。</w:t>
      </w:r>
    </w:p>
    <w:p>
      <w:pPr/>
      <w:r>
        <w:rPr>
          <w:rFonts w:hint="eastAsia" w:eastAsia="黑体"/>
        </w:rPr>
        <w:t xml:space="preserve">就组态而言，这是多相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单元交错并联、开关管相位错开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的交错并联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电路，通过各相电感电流纹波相互抵消减小输出电流纹波、提高等效纹波频率，用于低压大电流供电。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各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单元的开关管按相位依次错开导通，使各相电感电流在输出电容处叠加时纹波相互抵消。总输出电流纹波比单路显著减小，等效纹波频率提高到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为相数），从而可用更小的输出电容与电感，改善瞬态响应与散热。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单相占空比（CCM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单相电感值：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相电流纹波消减比（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相，</w:t>
      </w:r>
      <m:oMath>
        <m:r>
          <m:t>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eastAsia="黑体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N</m:t>
        </m:r>
        <m:r>
          <m:t>D</m:t>
        </m:r>
        <m:r>
          <m:rPr>
            <m:sty m:val="p"/>
          </m:rPr>
          <m:t>⌋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BlockText"/>
      </w:pPr>
      <w:r>
        <w:rPr>
          <w:rFonts w:hint="eastAsia" w:eastAsia="黑体"/>
        </w:rPr>
        <w:t xml:space="preserve">当</w:t>
      </w:r>
      <w:r>
        <w:rPr>
          <w:rFonts w:eastAsia="黑体"/>
        </w:rPr>
        <w:t xml:space="preserve"> </w:t>
      </w:r>
      <m:oMath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为整数时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，各相输出纹波完全抵消。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等效纹波频率：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总输出电流：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单相占空比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单相电感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单相电感纹波电流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叠加后输出纹波电流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单相开关频率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增大（输出电压升高）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输出升高，电感纹波先增后减（在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接近</w:t>
      </w:r>
      <w:r>
        <w:rPr>
          <w:rFonts w:eastAsia="黑体"/>
        </w:rPr>
        <w:t xml:space="preserve"> 0.5 </w:t>
      </w:r>
      <w:r>
        <w:rPr>
          <w:rFonts w:hint="eastAsia" w:eastAsia="黑体"/>
        </w:rPr>
        <w:t xml:space="preserve">时最大）。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相数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输出纹波减小、等效频率升高、开关应力分散，但控制与成本增加。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单相电感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相电流纹波减小，瞬态响应变慢。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电感与电容可小型化，开关损耗增大。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：单相占空比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1.2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0.1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0.1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12</m:t>
            </m:r>
            <m:r>
              <m:rPr>
                <m:sty m:val="p"/>
              </m:rPr>
              <m:t>−</m:t>
            </m:r>
            <m:r>
              <m:t>1.2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0.1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</m:t>
            </m:r>
          </m:den>
        </m:f>
        <m:r>
          <m:rPr>
            <m:sty m:val="p"/>
          </m:rPr>
          <m:t>=</m:t>
        </m:r>
        <m:r>
          <m:t>1.08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多相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控制芯片：TPS53659、ISL68137、LTC3855、IR35201。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功率开关管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DrMOS：CSD95378、FDMF6820、IR35401。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功率电感：铁氧体功率电感（如</w:t>
      </w:r>
      <w:r>
        <w:rPr>
          <w:rFonts w:eastAsia="黑体"/>
        </w:rPr>
        <w:t xml:space="preserve"> XAL、IHLP </w:t>
      </w:r>
      <w:r>
        <w:rPr>
          <w:rFonts w:hint="eastAsia" w:eastAsia="黑体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各相需精确均流，相电流不平衡会导致部分电感/开关过热。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相移不准确会削弱纹波抵消效果，选择支持精确相位交错的控制</w:t>
      </w:r>
      <w:r>
        <w:rPr>
          <w:rFonts w:eastAsia="黑体"/>
        </w:rPr>
        <w:t xml:space="preserve"> IC。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输出电容按合成后的纹波与瞬态要求选择低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ESR、大容量电容。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多相布局需对称，避免各相寄生参数差异带来电流不均与振荡。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Buck converter。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SLVA882《Interleaved Buck Converter》。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BlockText"/>
      </w:pPr>
      <w:r>
        <w:rPr>
          <w:rFonts w:hint="eastAsia" w:eastAsia="黑体"/>
        </w:rPr>
        <w:t xml:space="preserve">说明：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的分段解析式见上文，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N</m:t>
        </m:r>
        <m:r>
          <m:t>D</m:t>
        </m:r>
        <m:r>
          <m:rPr>
            <m:sty m:val="p"/>
          </m:rPr>
          <m:t>⌋</m:t>
        </m:r>
      </m:oMath>
      <w:r>
        <w:rPr>
          <w:rFonts w:hint="eastAsia" w:eastAsia="黑体"/>
        </w:rPr>
        <w:t xml:space="preserve">；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落在各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区间时取相应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即可。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交错并联Buck电路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交错并联Buck电路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