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m="http://schemas.openxmlformats.org/officeDocument/2006/math" xmlns:r="http://schemas.openxmlformats.org/officeDocument/2006/relationships" xmlns:w="http://schemas.openxmlformats.org/wordprocessingml/2006/main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全桥逆变电路"/>
    <w:p>
      <w:pPr>
        <w:pStyle w:val="Heading1"/>
      </w:pPr>
      <w:r>
        <w:rPr>
          <w:rFonts w:hint="eastAsia" w:eastAsia="黑体"/>
        </w:rPr>
        <w:t xml:space="preserve">全桥逆变电路</w:t>
      </w:r>
    </w:p>
    <w:bookmarkStart w:id="19" w:name="拓扑描述"/>
    <w:p>
      <w:pPr>
        <w:pStyle w:val="Heading2"/>
      </w:pPr>
      <w:r>
        <w:rPr>
          <w:rFonts w:hint="eastAsia" w:eastAsia="黑体"/>
        </w:rPr>
        <w:t xml:space="preserve">拓扑描述</w:t>
      </w:r>
    </w:p>
    <w:p>
      <w:pPr>
        <w:pStyle w:val="FirstParagraph"/>
      </w:pPr>
      <w:r>
        <w:rPr>
          <w:rFonts w:hint="eastAsia" w:eastAsia="黑体"/>
        </w:rPr>
        <w:t xml:space="preserve">由</w:t>
      </w:r>
      <w:r>
        <w:rPr>
          <w:rFonts w:eastAsia="黑体"/>
        </w:rPr>
        <w:t xml:space="preserve"> </w:t>
      </w:r>
      <w:r>
        <w:rPr>
          <w:rFonts w:hint="eastAsia" w:eastAsia="黑体"/>
          <w:b/>
          <w:bCs/>
        </w:rPr>
        <w:t xml:space="preserve">四个功率开关管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rPr>
          <w:rFonts w:eastAsia="黑体"/>
          <w:b/>
          <w:bCs/>
        </w:rPr>
        <w:t xml:space="preserve">~</w:t>
      </w:r>
      <m:oMath>
        <m:sSub>
          <m:e>
            <m:r>
              <m:t>Q</m:t>
            </m:r>
          </m:e>
          <m:sub>
            <m:r>
              <m:t>4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组成</w:t>
      </w:r>
      <w:r>
        <w:rPr>
          <w:rFonts w:eastAsia="黑体"/>
        </w:rPr>
        <w:t xml:space="preserve"> H </w:t>
      </w:r>
      <w:r>
        <w:rPr>
          <w:rFonts w:hint="eastAsia" w:eastAsia="黑体"/>
        </w:rPr>
        <w:t xml:space="preserve">桥主回路（直流母线跨接在桥的两臂之间）与</w:t>
      </w:r>
      <w:r>
        <w:rPr>
          <w:rFonts w:eastAsia="黑体"/>
        </w:rPr>
        <w:t xml:space="preserve"> </w:t>
      </w:r>
      <w:r>
        <w:rPr>
          <w:rFonts w:hint="eastAsia" w:eastAsia="黑体"/>
          <w:b/>
          <w:bCs/>
        </w:rPr>
        <w:t xml:space="preserve">负载（或经滤波后的负载）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组成。电路关键节点：</w:t>
      </w:r>
      <w:r>
        <w:rPr>
          <w:rFonts w:hint="eastAsia" w:eastAsia="黑体"/>
          <w:b/>
          <w:bCs/>
        </w:rPr>
        <w:t xml:space="preserve">节点①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输入正端</w:t>
      </w:r>
      <w:r>
        <w:rPr>
          <w:rFonts w:eastAsia="黑体"/>
          <w:b/>
          <w:bCs/>
        </w:rPr>
        <w:t xml:space="preserve"> </w:t>
      </w:r>
      <m:oMath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</m:oMath>
      <w:r>
        <w:rPr>
          <w:rFonts w:hint="eastAsia" w:eastAsia="黑体"/>
        </w:rPr>
        <w:t xml:space="preserve">（直流母线正极，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与</w:t>
      </w:r>
      <w:r>
        <w:rPr>
          <w:rFonts w:eastAsia="黑体"/>
        </w:rP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的漏极相连）；</w:t>
      </w:r>
      <w:r>
        <w:rPr>
          <w:rFonts w:hint="eastAsia" w:eastAsia="黑体"/>
          <w:b/>
          <w:bCs/>
        </w:rPr>
        <w:t xml:space="preserve">节点②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输入负端</w:t>
      </w:r>
      <w:r>
        <w:rPr>
          <w:rFonts w:eastAsia="黑体"/>
          <w:b/>
          <w:bCs/>
        </w:rPr>
        <w:t xml:space="preserve"> GND</w:t>
      </w:r>
      <w:r>
        <w:rPr>
          <w:rFonts w:hint="eastAsia" w:eastAsia="黑体"/>
        </w:rPr>
        <w:t xml:space="preserve">（直流母线负极，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与</w:t>
      </w:r>
      <w:r>
        <w:rPr>
          <w:rFonts w:eastAsia="黑体"/>
        </w:rPr>
        <w:t xml:space="preserve"> </w:t>
      </w:r>
      <m:oMath>
        <m:sSub>
          <m:e>
            <m:r>
              <m:t>Q</m:t>
            </m:r>
          </m:e>
          <m:sub>
            <m:r>
              <m:t>4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的源极相连）；</w:t>
      </w:r>
      <w:r>
        <w:rPr>
          <w:rFonts w:hint="eastAsia" w:eastAsia="黑体"/>
          <w:b/>
          <w:bCs/>
        </w:rPr>
        <w:t xml:space="preserve">节点③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输出节点</w:t>
      </w:r>
      <w:r>
        <w:rPr>
          <w:rFonts w:eastAsia="黑体"/>
          <w:b/>
          <w:bCs/>
        </w:rPr>
        <w:t xml:space="preserve"> A</w:t>
      </w:r>
      <w:r>
        <w:rPr>
          <w:rFonts w:hint="eastAsia" w:eastAsia="黑体"/>
        </w:rPr>
        <w:t xml:space="preserve">（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源极、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漏极、负载一端相连）；</w:t>
      </w:r>
      <w:r>
        <w:rPr>
          <w:rFonts w:hint="eastAsia" w:eastAsia="黑体"/>
          <w:b/>
          <w:bCs/>
        </w:rPr>
        <w:t xml:space="preserve">节点④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输出节点</w:t>
      </w:r>
      <w:r>
        <w:rPr>
          <w:rFonts w:eastAsia="黑体"/>
          <w:b/>
          <w:bCs/>
        </w:rPr>
        <w:t xml:space="preserve"> B</w:t>
      </w:r>
      <w:r>
        <w:rPr>
          <w:rFonts w:hint="eastAsia" w:eastAsia="黑体"/>
        </w:rPr>
        <w:t xml:space="preserve">（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源极、</w:t>
      </w:r>
      <m:oMath>
        <m:sSub>
          <m:e>
            <m:r>
              <m:t>Q</m:t>
            </m:r>
          </m:e>
          <m:sub>
            <m:r>
              <m:t>4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漏极、负载另一端相连）。</w:t>
      </w:r>
    </w:p>
    <w:p>
      <w:pPr/>
      <w:r>
        <w:rPr>
          <w:rFonts w:hint="eastAsia" w:eastAsia="黑体"/>
        </w:rPr>
        <w:t xml:space="preserve">各元件管脚连接：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漏极接</w:t>
      </w:r>
      <w:r>
        <w:rPr>
          <w:rFonts w:eastAsia="黑体"/>
        </w:rPr>
        <w:t xml:space="preserve"> </w:t>
      </w:r>
      <m:oMath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</m:oMath>
      <w:r>
        <w:rPr>
          <w:rFonts w:hint="eastAsia" w:eastAsia="黑体"/>
        </w:rPr>
        <w:t xml:space="preserve">、源极接输出节点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A、栅极接驱动信号；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漏极接输出节点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A、源极接地、栅极接驱动信号；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漏极接</w:t>
      </w:r>
      <w:r>
        <w:rPr>
          <w:rFonts w:eastAsia="黑体"/>
        </w:rPr>
        <w:t xml:space="preserve"> </w:t>
      </w:r>
      <m:oMath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</m:oMath>
      <w:r>
        <w:rPr>
          <w:rFonts w:hint="eastAsia" w:eastAsia="黑体"/>
        </w:rPr>
        <w:t xml:space="preserve">、源极接输出节点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B、栅极接驱动信号；</w:t>
      </w:r>
      <m:oMath>
        <m:sSub>
          <m:e>
            <m:r>
              <m:t>Q</m:t>
            </m:r>
          </m:e>
          <m:sub>
            <m:r>
              <m:t>4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漏极接输出节点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B、源极接地、栅极接驱动信号；负载（或经滤波器的负载）跨接在输出节点</w:t>
      </w:r>
      <w:r>
        <w:rPr>
          <w:rFonts w:eastAsia="黑体"/>
        </w:rPr>
        <w:t xml:space="preserve"> A </w:t>
      </w:r>
      <w:r>
        <w:rPr>
          <w:rFonts w:hint="eastAsia" w:eastAsia="黑体"/>
        </w:rPr>
        <w:t xml:space="preserve">与输出节点</w:t>
      </w:r>
      <w:r>
        <w:rPr>
          <w:rFonts w:eastAsia="黑体"/>
        </w:rPr>
        <w:t xml:space="preserve"> B </w:t>
      </w:r>
      <w:r>
        <w:rPr>
          <w:rFonts w:hint="eastAsia" w:eastAsia="黑体"/>
        </w:rPr>
        <w:t xml:space="preserve">之间。</w:t>
      </w:r>
    </w:p>
    <w:p>
      <w:pPr/>
      <w:r>
        <w:rPr>
          <w:rFonts w:hint="eastAsia" w:eastAsia="黑体"/>
        </w:rPr>
        <w:t xml:space="preserve">由此构成对角开关（</w:t>
      </w:r>
      <m:oMath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Q</m:t>
            </m:r>
          </m:e>
          <m:sub>
            <m:r>
              <m:t>4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与</w:t>
      </w:r>
      <w:r>
        <w:rPr>
          <w:rFonts w:eastAsia="黑体"/>
        </w:rPr>
        <w:t xml:space="preserve"> </w:t>
      </w:r>
      <m:oMath>
        <m:sSub>
          <m:e>
            <m:r>
              <m:t>Q</m:t>
            </m:r>
          </m:e>
          <m:sub>
            <m:r>
              <m:t>2</m:t>
            </m:r>
          </m:sub>
        </m:sSub>
        <m:r>
          <m:rPr>
            <m:sty m:val="p"/>
          </m:rPr>
          <m:t>/</m:t>
        </m:r>
        <m:sSub>
          <m:e>
            <m:r>
              <m:t>Q</m:t>
            </m:r>
          </m:e>
          <m:sub>
            <m:r>
              <m:t>3</m:t>
            </m:r>
          </m:sub>
        </m:sSub>
      </m:oMath>
      <w:r>
        <w:rPr>
          <w:rFonts w:hint="eastAsia" w:eastAsia="黑体"/>
        </w:rPr>
        <w:t xml:space="preserve">）交替导通、在负载两端产生</w:t>
      </w:r>
      <w:r>
        <w:rPr>
          <w:rFonts w:eastAsia="黑体"/>
        </w:rPr>
        <w:t xml:space="preserve"> </w:t>
      </w:r>
      <m:oMath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</m:oMath>
      <w:r>
        <w:rPr>
          <w:rFonts w:eastAsia="黑体"/>
        </w:rPr>
        <w:t xml:space="preserve">/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交替双极性方波的</w:t>
      </w:r>
      <w:r>
        <w:rPr>
          <w:rFonts w:eastAsia="黑体"/>
        </w:rPr>
        <w:t xml:space="preserve"> H </w:t>
      </w:r>
      <w:r>
        <w:rPr>
          <w:rFonts w:hint="eastAsia" w:eastAsia="黑体"/>
        </w:rPr>
        <w:t xml:space="preserve">桥</w:t>
      </w:r>
      <w:r>
        <w:rPr>
          <w:rFonts w:eastAsia="黑体"/>
        </w:rPr>
        <w:t xml:space="preserve"> DC-AC </w:t>
      </w:r>
      <w:r>
        <w:rPr>
          <w:rFonts w:hint="eastAsia" w:eastAsia="黑体"/>
        </w:rPr>
        <w:t xml:space="preserve">逆变组态，用于变频器、逆变电源与电机驱动。</w:t>
      </w:r>
    </w:p>
    <w:bookmarkEnd w:id="19"/>
    <w:bookmarkStart w:id="20" w:name="工作原理"/>
    <w:p>
      <w:pPr>
        <w:pStyle w:val="Heading2"/>
      </w:pPr>
      <w:r>
        <w:rPr>
          <w:rFonts w:hint="eastAsia" w:eastAsia="黑体"/>
        </w:rPr>
        <w:t xml:space="preserve">工作原理</w:t>
      </w:r>
    </w:p>
    <w:p>
      <w:pPr>
        <w:pStyle w:val="FirstParagraph"/>
      </w:pPr>
      <w:r>
        <w:rPr>
          <w:rFonts w:hint="eastAsia" w:eastAsia="黑体"/>
        </w:rPr>
        <w:t xml:space="preserve">直流母线电压经两对桥臂交替导通，在负载两端形成</w:t>
      </w:r>
      <w:r>
        <w:rPr>
          <w:rFonts w:eastAsia="黑体"/>
        </w:rPr>
        <w:t xml:space="preserve"> </w:t>
      </w:r>
      <m:oMath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</m:oMath>
      <w:r>
        <w:rPr>
          <w:rFonts w:eastAsia="黑体"/>
        </w:rPr>
        <w:t xml:space="preserve">、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交替的方波电压；通过改变开关频率或采用</w:t>
      </w:r>
      <w:r>
        <w:rPr>
          <w:rFonts w:eastAsia="黑体"/>
        </w:rPr>
        <w:t xml:space="preserve"> PWM </w:t>
      </w:r>
      <w:r>
        <w:rPr>
          <w:rFonts w:hint="eastAsia" w:eastAsia="黑体"/>
        </w:rPr>
        <w:t xml:space="preserve">调制占空比，可控制输出交流的频率与基波幅值，从而实现直流到交流的能量变换。</w:t>
      </w:r>
    </w:p>
    <w:bookmarkEnd w:id="20"/>
    <w:bookmarkStart w:id="21" w:name="关键计算公式"/>
    <w:p>
      <w:pPr>
        <w:pStyle w:val="Heading2"/>
      </w:pPr>
      <w:r>
        <w:rPr>
          <w:rFonts w:hint="eastAsia" w:eastAsia="黑体"/>
        </w:rPr>
        <w:t xml:space="preserve">关键计算公式</w:t>
      </w:r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方波输出的基波峰值：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o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</m:t>
              </m:r>
            </m:num>
            <m:den>
              <m:r>
                <m:t>π</m:t>
              </m:r>
            </m:den>
          </m:f>
          <m:sSub>
            <m:e>
              <m:r>
                <m:t>V</m:t>
              </m:r>
            </m:e>
            <m:sub>
              <m:r>
                <m:t>i</m:t>
              </m:r>
              <m:r>
                <m:t>n</m:t>
              </m:r>
            </m:sub>
          </m:sSub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方波输出的基波有效值：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o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t>m</m:t>
              </m:r>
              <m:r>
                <m:t>s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</m:t>
              </m:r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</m:num>
            <m:den>
              <m:r>
                <m:t>π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num>
            <m:den>
              <m:r>
                <m:t>π</m:t>
              </m:r>
            </m:den>
          </m:f>
          <m:sSub>
            <m:e>
              <m:r>
                <m:t>V</m:t>
              </m:r>
            </m:e>
            <m:sub>
              <m:r>
                <m:t>i</m:t>
              </m:r>
              <m:r>
                <m:t>n</m:t>
              </m:r>
            </m:sub>
          </m:sSub>
          <m:r>
            <m:rPr>
              <m:sty m:val="p"/>
            </m:rPr>
            <m:t>≈</m:t>
          </m:r>
          <m:r>
            <m:t>0.9</m:t>
          </m:r>
          <m:r>
            <m:t> </m:t>
          </m:r>
          <m:sSub>
            <m:e>
              <m:r>
                <m:t>V</m:t>
              </m:r>
            </m:e>
            <m:sub>
              <m:r>
                <m:t>i</m:t>
              </m:r>
              <m:r>
                <m:t>n</m:t>
              </m:r>
            </m:sub>
          </m:sSub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输出基波频率：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o</m:t>
              </m:r>
            </m:sub>
          </m:sSub>
          <m:r>
            <m:rPr>
              <m:sty m:val="p"/>
            </m:rPr>
            <m:t>=</m:t>
          </m:r>
          <m:sSub>
            <m:e>
              <m:r>
                <m:t>f</m:t>
              </m:r>
            </m:e>
            <m:sub>
              <m:r>
                <m:t>s</m:t>
              </m:r>
              <m:r>
                <m:t>w</m:t>
              </m:r>
            </m:sub>
          </m:sSub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正弦</w:t>
      </w:r>
      <w:r>
        <w:rPr>
          <w:rFonts w:eastAsia="黑体"/>
        </w:rPr>
        <w:t xml:space="preserve"> PWM </w:t>
      </w:r>
      <w:r>
        <w:rPr>
          <w:rFonts w:hint="eastAsia" w:eastAsia="黑体"/>
        </w:rPr>
        <w:t xml:space="preserve">调制时的基波有效值（调制比</w:t>
      </w:r>
      <w:r>
        <w:rPr>
          <w:rFonts w:eastAsia="黑体"/>
        </w:rPr>
        <w:t xml:space="preserve"> </w:t>
      </w:r>
      <m:oMath>
        <m:sSub>
          <m:e>
            <m:r>
              <m:t>m</m:t>
            </m:r>
          </m:e>
          <m:sub>
            <m:r>
              <m:t>a</m:t>
            </m:r>
          </m:sub>
        </m:sSub>
        <m:r>
          <m:rPr>
            <m:sty m:val="p"/>
          </m:rPr>
          <m:t>≤</m:t>
        </m:r>
        <m:r>
          <m:t>1</m:t>
        </m:r>
      </m:oMath>
      <w:r>
        <w:rPr>
          <w:rFonts w:hint="eastAsia" w:eastAsia="黑体"/>
        </w:rPr>
        <w:t xml:space="preserve">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o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t>m</m:t>
              </m:r>
              <m:r>
                <m:t>s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a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调制比：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r</m:t>
                  </m:r>
                  <m:r>
                    <m:t>e</m:t>
                  </m:r>
                  <m:r>
                    <m:t>f</m:t>
                  </m:r>
                </m:sub>
              </m:sSub>
            </m:num>
            <m:den>
              <m:sSub>
                <m:e>
                  <m:r>
                    <m:t>V</m:t>
                  </m:r>
                </m:e>
                <m:sub>
                  <m:r>
                    <m:t>c</m:t>
                  </m:r>
                  <m:r>
                    <m:t>a</m:t>
                  </m:r>
                  <m:r>
                    <m:t>r</m:t>
                  </m:r>
                </m:sub>
              </m:sSub>
            </m:den>
          </m:f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输入直流母线电压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o</m:t>
                  </m:r>
                  <m:r>
                    <m:t>1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输出基波峰值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f</m:t>
                  </m:r>
                </m:e>
                <m:sub>
                  <m:r>
                    <m:t>o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输出基波频率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Hz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f</m:t>
                  </m:r>
                </m:e>
                <m:sub>
                  <m:r>
                    <m:t>s</m:t>
                  </m:r>
                  <m:r>
                    <m:t>w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开关频率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Hz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m</m:t>
                  </m:r>
                </m:e>
                <m:sub>
                  <m:r>
                    <m:t>a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幅度调制比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—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 w:eastAsia="黑体"/>
        </w:rPr>
        <w:t xml:space="preserve">元件调整影响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</m:oMath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增大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输出基波幅值线性增大，开关管承受压降固定（即母线电压），需校验耐压。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开关频率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f</m:t>
            </m:r>
          </m:e>
          <m:sub>
            <m:r>
              <m:t>s</m:t>
            </m:r>
            <m:r>
              <m:t>w</m:t>
            </m:r>
          </m:sub>
        </m:sSub>
      </m:oMath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增大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输出频率升高，但开关损耗与开关管温升增大。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调制比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m</m:t>
            </m:r>
          </m:e>
          <m:sub>
            <m:r>
              <m:t>a</m:t>
            </m:r>
          </m:sub>
        </m:sSub>
      </m:oMath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增大</w:t>
      </w:r>
      <w:r>
        <w:rPr>
          <w:rFonts w:hint="eastAsia" w:eastAsia="黑体"/>
        </w:rPr>
        <w:t xml:space="preserve">（≤1）→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输出基波有效值线性增大，谐波频谱分布改变。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</w:rPr>
        <w:t xml:space="preserve">死区时间设置偏大</w:t>
      </w:r>
      <w:r>
        <w:rPr>
          <w:rFonts w:eastAsia="黑体"/>
        </w:rPr>
        <w:t xml:space="preserve"> → </w:t>
      </w:r>
      <w:r>
        <w:rPr>
          <w:rFonts w:hint="eastAsia" w:eastAsia="黑体"/>
        </w:rPr>
        <w:t xml:space="preserve">输出波形畸变、基波幅值略降，但可防上下桥臂直通。</w:t>
      </w:r>
    </w:p>
    <w:bookmarkEnd w:id="22"/>
    <w:bookmarkStart w:id="23" w:name="典型参数示例"/>
    <w:p>
      <w:pPr>
        <w:pStyle w:val="Heading2"/>
      </w:pPr>
      <w:r>
        <w:rPr>
          <w:rFonts w:hint="eastAsia" w:eastAsia="黑体"/>
        </w:rPr>
        <w:t xml:space="preserve">典型参数示例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</w:rPr>
        <w:t xml:space="preserve">取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  <m:r>
          <m:rPr>
            <m:sty m:val="p"/>
          </m:rPr>
          <m:t>=</m:t>
        </m:r>
        <m:r>
          <m:t>400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hint="eastAsia" w:eastAsia="黑体"/>
        </w:rPr>
        <w:t xml:space="preserve">、采用方波输出：基波峰值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o</m:t>
            </m:r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</m:num>
          <m:den>
            <m:r>
              <m:t>π</m:t>
            </m:r>
          </m:den>
        </m:f>
        <m:r>
          <m:rPr>
            <m:sty m:val="p"/>
          </m:rPr>
          <m:t>×</m:t>
        </m:r>
        <m:r>
          <m:t>400</m:t>
        </m:r>
        <m:r>
          <m:rPr>
            <m:sty m:val="p"/>
          </m:rPr>
          <m:t>≈</m:t>
        </m:r>
        <m:r>
          <m:t>509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hint="eastAsia" w:eastAsia="黑体"/>
        </w:rPr>
        <w:t xml:space="preserve">；若负载为</w:t>
      </w:r>
      <w:r>
        <w:rPr>
          <w:rFonts w:eastAsia="黑体"/>
        </w:rPr>
        <w:t xml:space="preserve"> </w:t>
      </w:r>
      <m:oMath>
        <m:r>
          <m:t>50</m:t>
        </m:r>
        <m:r>
          <m:t> </m:t>
        </m:r>
        <m:r>
          <m:rPr>
            <m:nor/>
            <m:sty m:val="p"/>
          </m:rPr>
          <m:t>Ω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电阻，方波峰值电流</w:t>
      </w:r>
      <w:r>
        <w:rPr>
          <w:rFonts w:eastAsia="黑体"/>
        </w:rPr>
        <w:t xml:space="preserve"> </w:t>
      </w:r>
      <m:oMath>
        <m:sSub>
          <m:e>
            <m: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400</m:t>
        </m:r>
        <m:r>
          <m:rPr>
            <m:sty m:val="p"/>
          </m:rPr>
          <m:t>/</m:t>
        </m:r>
        <m:r>
          <m:t>50</m:t>
        </m:r>
        <m:r>
          <m:rPr>
            <m:sty m:val="p"/>
          </m:rPr>
          <m:t>=</m:t>
        </m:r>
        <m:r>
          <m:t>8</m:t>
        </m:r>
        <m:r>
          <m:t> </m:t>
        </m:r>
        <m:r>
          <m:rPr>
            <m:nor/>
            <m:sty m:val="p"/>
          </m:rPr>
          <m:t>A</m:t>
        </m:r>
      </m:oMath>
      <w:r>
        <w:rPr>
          <w:rFonts w:eastAsia="黑体"/>
        </w:rP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</w:rPr>
        <w:t xml:space="preserve">取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  <m:r>
          <m:rPr>
            <m:sty m:val="p"/>
          </m:rPr>
          <m:t>=</m:t>
        </m:r>
        <m:r>
          <m:t>400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eastAsia="黑体"/>
        </w:rPr>
        <w:t xml:space="preserve">、</w:t>
      </w:r>
      <m:oMath>
        <m:sSub>
          <m:e>
            <m:r>
              <m:t>m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t>0.8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SPWM：</w:t>
      </w:r>
      <m:oMath>
        <m:sSub>
          <m:e>
            <m:r>
              <m:t>V</m:t>
            </m:r>
          </m:e>
          <m:sub>
            <m:r>
              <m:t>o</m:t>
            </m:r>
            <m:r>
              <m:t>1</m:t>
            </m:r>
            <m:r>
              <m:rPr>
                <m:sty m:val="p"/>
              </m:rPr>
              <m:t>(</m:t>
            </m:r>
            <m:r>
              <m:t>r</m:t>
            </m:r>
            <m:r>
              <m:t>m</m:t>
            </m:r>
            <m:r>
              <m:t>s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0.8</m:t>
        </m:r>
        <m:r>
          <m:rPr>
            <m:sty m:val="p"/>
          </m:rPr>
          <m:t>×</m:t>
        </m:r>
        <m:r>
          <m:t>400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226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eastAsia="黑体"/>
        </w:rPr>
        <w:t xml:space="preserve">。</w:t>
      </w:r>
    </w:p>
    <w:bookmarkEnd w:id="23"/>
    <w:bookmarkStart w:id="24" w:name="常见器件型号"/>
    <w:p>
      <w:pPr>
        <w:pStyle w:val="Heading2"/>
      </w:pPr>
      <w:r>
        <w:rPr>
          <w:rFonts w:hint="eastAsia" w:eastAsia="黑体"/>
        </w:rPr>
        <w:t xml:space="preserve">常见器件型号</w:t>
      </w:r>
    </w:p>
    <w:p>
      <w:pPr>
        <w:pStyle w:val="Compact"/>
        <w:numPr>
          <w:ilvl w:val="0"/>
          <w:numId w:val="1004"/>
        </w:numPr>
      </w:pPr>
      <w:r>
        <w:rPr>
          <w:rFonts w:eastAsia="黑体"/>
        </w:rPr>
        <w:t xml:space="preserve">IGBT </w:t>
      </w:r>
      <w:r>
        <w:rPr>
          <w:rFonts w:hint="eastAsia" w:eastAsia="黑体"/>
        </w:rPr>
        <w:t xml:space="preserve">模块：英飞凌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FS75R12、FZ1200R12；三菱</w:t>
      </w:r>
      <w:r>
        <w:rPr>
          <w:rFonts w:eastAsia="黑体"/>
        </w:rPr>
        <w:t xml:space="preserve"> CM75、CM100。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MOSFET：IRFP460、STP80NF70、IPW60R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系列（CoolMOS）。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驱动芯片：IR2110、IR2113、UCC21520、FOD3184。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栅极光耦：TLP250、HCPL3120。</w:t>
      </w:r>
    </w:p>
    <w:bookmarkEnd w:id="24"/>
    <w:bookmarkStart w:id="25" w:name="注意事项"/>
    <w:p>
      <w:pPr>
        <w:pStyle w:val="Heading2"/>
      </w:pPr>
      <w:r>
        <w:rPr>
          <w:rFonts w:hint="eastAsia" w:eastAsia="黑体"/>
        </w:rPr>
        <w:t xml:space="preserve">注意事项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上下桥臂必须设死区时间，防止直通短路烧毁器件。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开关管需配吸收电路（RCD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或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RC），抑制换流时的电压尖峰。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感性负载需并联续流二极管或采用带体二极管的开关器件。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需为桥臂提供隔离栅极驱动与自举供电。</w:t>
      </w:r>
    </w:p>
    <w:bookmarkEnd w:id="25"/>
    <w:bookmarkStart w:id="26" w:name="参考资料"/>
    <w:p>
      <w:pPr>
        <w:pStyle w:val="Heading2"/>
      </w:pPr>
      <w:r>
        <w:rPr>
          <w:rFonts w:hint="eastAsia" w:eastAsia="黑体"/>
        </w:rPr>
        <w:t xml:space="preserve">参考资料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Wikipedia: H-bridge / Power inverter。</w:t>
      </w:r>
    </w:p>
    <w:p>
      <w:pPr>
        <w:pStyle w:val="Compact"/>
        <w:numPr>
          <w:ilvl w:val="0"/>
          <w:numId w:val="1006"/>
        </w:numPr>
      </w:pPr>
      <w:r>
        <w:rPr>
          <w:rFonts w:hint="eastAsia" w:eastAsia="黑体"/>
        </w:rPr>
        <w:t xml:space="preserve">《电力电子技术》（王兆安、刘进军）。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TI </w:t>
      </w:r>
      <w:r>
        <w:rPr>
          <w:rFonts w:hint="eastAsia" w:eastAsia="黑体"/>
        </w:rPr>
        <w:t xml:space="preserve">应用笔记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SLUA618（半桥驱动）。</w:t>
      </w:r>
    </w:p>
    <w:bookmarkEnd w:id="26"/>
    <w:bookmarkEnd w:id="27"/>
    <w:p>
      <w:pPr>
        <w:spacing w:before="360"/>
        <w:jc w:val="center"/>
      </w:pPr>
      <w:r>
        <w:rPr>
          <w:rFonts w:ascii="Times New Roman" w:hAnsi="Times New Roman" w:eastAsia="黑体"/>
          <w:color w:val="555555"/>
          <w:sz w:val="21"/>
        </w:rPr>
        <w:t>材料收集者：杜文杰，微信/手机：19519196569，QQ:3478827729</w:t>
      </w:r>
    </w:p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eastAsia="黑体"/>
        <w:sz w:val="18"/>
      </w:rPr>
      <w:t xml:space="preserve">第 </w:t>
    </w:r>
    <w:r>
      <w:rPr>
        <w:rFonts w:eastAsia="黑体"/>
        <w:sz w:val="18"/>
      </w:rPr>
      <w:fldChar w:fldCharType="begin"/>
      <w:instrText xml:space="preserve">PAGE</w:instrText>
      <w:fldChar w:fldCharType="end"/>
    </w:r>
    <w:r>
      <w:rPr>
        <w:rFonts w:eastAsia="黑体"/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rPr>
          <w:rFonts w:eastAsia="黑体"/>
        </w:rPr>
        <w:continuationSeparator/>
      </w:r>
    </w:p>
  </w:footnote>
  <w:footnote w:type="separator" w:id="-1">
    <w:p>
      <w:r>
        <w:rPr>
          <w:rFonts w:eastAsia="黑体"/>
        </w:rPr>
        <w:separator/>
      </w:r>
    </w:p>
  </w:footnote>
</w:footnotes>
</file>

<file path=word/header1.xml><?xml version="1.0" encoding="utf-8"?>
<w:hd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黑体"/>
        <w:sz w:val="18"/>
        <w:rFonts w:eastAsia="黑体"/>
        <w:rFonts w:eastAsia="黑体"/>
      </w:rPr>
      <w:t>全桥逆变电路</w:t>
    </w:r>
  </w:p>
</w:hdr>
</file>

<file path=word/numbering.xml><?xml version="1.0" encoding="utf-8"?>
<w:numbering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 w:eastAsia="黑体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 w:eastAsia="黑体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 w:eastAsia="黑体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 w:eastAsia="黑体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 w:eastAsia="黑体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 w:eastAsia="黑体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 w:eastAsia="黑体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 w:eastAsia="黑体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 w:eastAsia="黑体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 w:eastAsia="黑体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 w:eastAsia="黑体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 w:eastAsia="黑体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 w:eastAsia="黑体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r="http://schemas.openxmlformats.org/officeDocument/2006/relationships" xmlns:w14="http://schemas.microsoft.com/office/word/2010/wordml" mc:Ignorable="w14">
  <w:docDefaults>
    <w:rPrDefault>
      <w:rPr>
        <w:rFonts w:asciiTheme="minorHAnsi" w:cstheme="minorBidi" w:hAnsiTheme="minorHAnsi" w:eastAsia="黑体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hAnsiTheme="majorHAnsi" w:eastAsia="黑体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hAnsiTheme="majorHAnsi" w:eastAsia="黑体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hAnsiTheme="majorHAnsi" w:eastAsia="黑体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hAnsiTheme="majorHAnsi" w:eastAsia="黑体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hAnsiTheme="majorHAnsi" w:eastAsia="黑体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hAnsiTheme="majorHAnsi" w:eastAsia="黑体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hAnsiTheme="majorHAnsi" w:eastAsia="黑体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rFonts w:eastAsia="黑体"/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rFonts w:eastAsia="黑体"/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 w:eastAsia="黑体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 w:eastAsia="黑体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rFonts w:eastAsia="黑体"/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hAnsiTheme="majorHAnsi" w:eastAsia="黑体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hAnsiTheme="majorHAnsi" w:eastAsia="黑体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hAnsiTheme="majorHAnsi" w:eastAsia="黑体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hAnsiTheme="majorHAnsi" w:eastAsia="黑体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eastAsia="黑体"/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rFonts w:eastAsia="黑体"/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rFonts w:eastAsia="黑体"/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rFonts w:eastAsia="黑体"/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rFonts w:eastAsia="黑体"/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rFonts w:eastAsia="黑体"/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rFonts w:eastAsia="黑体"/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rFonts w:eastAsia="黑体"/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rFonts w:eastAsia="黑体"/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rFonts w:eastAsia="黑体"/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rFonts w:eastAsia="黑体"/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rFonts w:eastAsia="黑体"/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rFonts w:eastAsia="黑体"/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rFonts w:eastAsia="黑体"/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rFonts w:eastAsia="黑体"/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rFonts w:eastAsia="黑体"/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rFonts w:eastAsia="黑体"/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rFonts w:eastAsia="黑体"/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rFonts w:eastAsia="黑体"/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rFonts w:eastAsia="黑体"/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rFonts w:eastAsia="黑体"/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rFonts w:eastAsia="黑体"/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rFonts w:eastAsia="黑体"/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rFonts w:eastAsia="黑体"/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rFonts w:eastAsia="黑体"/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rFonts w:eastAsia="黑体"/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rFonts w:eastAsia="黑体"/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rFonts w:eastAsia="黑体"/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rFonts w:eastAsia="黑体"/>
      <w:b/>
      <w:color w:val="007020"/>
    </w:rPr>
  </w:style>
  <w:style w:type="character" w:customStyle="1" w:styleId="DataTypeTok">
    <w:name w:val="DataTypeTok"/>
    <w:basedOn w:val="VerbatimChar"/>
    <w:rPr>
      <w:rFonts w:eastAsia="黑体"/>
      <w:color w:val="902000"/>
    </w:rPr>
  </w:style>
  <w:style w:type="character" w:customStyle="1" w:styleId="DecValTok">
    <w:name w:val="DecValTok"/>
    <w:basedOn w:val="VerbatimChar"/>
    <w:rPr>
      <w:rFonts w:eastAsia="黑体"/>
      <w:color w:val="40a070"/>
    </w:rPr>
  </w:style>
  <w:style w:type="character" w:customStyle="1" w:styleId="BaseNTok">
    <w:name w:val="BaseNTok"/>
    <w:basedOn w:val="VerbatimChar"/>
    <w:rPr>
      <w:rFonts w:eastAsia="黑体"/>
      <w:color w:val="40a070"/>
    </w:rPr>
  </w:style>
  <w:style w:type="character" w:customStyle="1" w:styleId="FloatTok">
    <w:name w:val="FloatTok"/>
    <w:basedOn w:val="VerbatimChar"/>
    <w:rPr>
      <w:rFonts w:eastAsia="黑体"/>
      <w:color w:val="40a070"/>
    </w:rPr>
  </w:style>
  <w:style w:type="character" w:customStyle="1" w:styleId="ConstantTok">
    <w:name w:val="ConstantTok"/>
    <w:basedOn w:val="VerbatimChar"/>
    <w:rPr>
      <w:rFonts w:eastAsia="黑体"/>
      <w:color w:val="880000"/>
    </w:rPr>
  </w:style>
  <w:style w:type="character" w:customStyle="1" w:styleId="CharTok">
    <w:name w:val="CharTok"/>
    <w:basedOn w:val="VerbatimChar"/>
    <w:rPr>
      <w:rFonts w:eastAsia="黑体"/>
      <w:color w:val="4070a0"/>
    </w:rPr>
  </w:style>
  <w:style w:type="character" w:customStyle="1" w:styleId="SpecialCharTok">
    <w:name w:val="SpecialCharTok"/>
    <w:basedOn w:val="VerbatimChar"/>
    <w:rPr>
      <w:rFonts w:eastAsia="黑体"/>
      <w:color w:val="4070a0"/>
    </w:rPr>
  </w:style>
  <w:style w:type="character" w:customStyle="1" w:styleId="StringTok">
    <w:name w:val="StringTok"/>
    <w:basedOn w:val="VerbatimChar"/>
    <w:rPr>
      <w:rFonts w:eastAsia="黑体"/>
      <w:color w:val="4070a0"/>
    </w:rPr>
  </w:style>
  <w:style w:type="character" w:customStyle="1" w:styleId="VerbatimStringTok">
    <w:name w:val="VerbatimStringTok"/>
    <w:basedOn w:val="VerbatimChar"/>
    <w:rPr>
      <w:rFonts w:eastAsia="黑体"/>
      <w:color w:val="4070a0"/>
    </w:rPr>
  </w:style>
  <w:style w:type="character" w:customStyle="1" w:styleId="SpecialStringTok">
    <w:name w:val="SpecialStringTok"/>
    <w:basedOn w:val="VerbatimChar"/>
    <w:rPr>
      <w:rFonts w:eastAsia="黑体"/>
      <w:color w:val="bb6688"/>
    </w:rPr>
  </w:style>
  <w:style w:type="character" w:customStyle="1" w:styleId="ImportTok">
    <w:name w:val="ImportTok"/>
    <w:basedOn w:val="VerbatimChar"/>
    <w:rPr>
      <w:rFonts w:eastAsia="黑体"/>
      <w:b/>
      <w:color w:val="008000"/>
    </w:rPr>
  </w:style>
  <w:style w:type="character" w:customStyle="1" w:styleId="CommentTok">
    <w:name w:val="CommentTok"/>
    <w:basedOn w:val="VerbatimChar"/>
    <w:rPr>
      <w:rFonts w:eastAsia="黑体"/>
      <w:i/>
      <w:color w:val="60a0b0"/>
    </w:rPr>
  </w:style>
  <w:style w:type="character" w:customStyle="1" w:styleId="DocumentationTok">
    <w:name w:val="DocumentationTok"/>
    <w:basedOn w:val="VerbatimChar"/>
    <w:rPr>
      <w:rFonts w:eastAsia="黑体"/>
      <w:i/>
      <w:color w:val="ba2121"/>
    </w:rPr>
  </w:style>
  <w:style w:type="character" w:customStyle="1" w:styleId="AnnotationTok">
    <w:name w:val="AnnotationTok"/>
    <w:basedOn w:val="VerbatimChar"/>
    <w:rPr>
      <w:rFonts w:eastAsia="黑体"/>
      <w:b/>
      <w:i/>
      <w:color w:val="60a0b0"/>
    </w:rPr>
  </w:style>
  <w:style w:type="character" w:customStyle="1" w:styleId="CommentVarTok">
    <w:name w:val="CommentVarTok"/>
    <w:basedOn w:val="VerbatimChar"/>
    <w:rPr>
      <w:rFonts w:eastAsia="黑体"/>
      <w:b/>
      <w:i/>
      <w:color w:val="60a0b0"/>
    </w:rPr>
  </w:style>
  <w:style w:type="character" w:customStyle="1" w:styleId="OtherTok">
    <w:name w:val="OtherTok"/>
    <w:basedOn w:val="VerbatimChar"/>
    <w:rPr>
      <w:rFonts w:eastAsia="黑体"/>
      <w:color w:val="007020"/>
    </w:rPr>
  </w:style>
  <w:style w:type="character" w:customStyle="1" w:styleId="FunctionTok">
    <w:name w:val="FunctionTok"/>
    <w:basedOn w:val="VerbatimChar"/>
    <w:rPr>
      <w:rFonts w:eastAsia="黑体"/>
      <w:color w:val="06287e"/>
    </w:rPr>
  </w:style>
  <w:style w:type="character" w:customStyle="1" w:styleId="VariableTok">
    <w:name w:val="VariableTok"/>
    <w:basedOn w:val="VerbatimChar"/>
    <w:rPr>
      <w:rFonts w:eastAsia="黑体"/>
      <w:color w:val="19177c"/>
    </w:rPr>
  </w:style>
  <w:style w:type="character" w:customStyle="1" w:styleId="ControlFlowTok">
    <w:name w:val="ControlFlowTok"/>
    <w:basedOn w:val="VerbatimChar"/>
    <w:rPr>
      <w:rFonts w:eastAsia="黑体"/>
      <w:b/>
      <w:color w:val="007020"/>
    </w:rPr>
  </w:style>
  <w:style w:type="character" w:customStyle="1" w:styleId="OperatorTok">
    <w:name w:val="OperatorTok"/>
    <w:basedOn w:val="VerbatimChar"/>
    <w:rPr>
      <w:rFonts w:eastAsia="黑体"/>
      <w:color w:val="666666"/>
    </w:rPr>
  </w:style>
  <w:style w:type="character" w:customStyle="1" w:styleId="BuiltInTok">
    <w:name w:val="BuiltInTok"/>
    <w:basedOn w:val="VerbatimChar"/>
    <w:rPr>
      <w:rFonts w:eastAsia="黑体"/>
      <w:color w:val="008000"/>
    </w:rPr>
  </w:style>
  <w:style w:type="character" w:customStyle="1" w:styleId="ExtensionTok">
    <w:name w:val="ExtensionTok"/>
    <w:basedOn w:val="VerbatimChar"/>
    <w:rPr>
      <w:rFonts w:eastAsia="黑体"/>
    </w:rPr>
  </w:style>
  <w:style w:type="character" w:customStyle="1" w:styleId="PreprocessorTok">
    <w:name w:val="PreprocessorTok"/>
    <w:basedOn w:val="VerbatimChar"/>
    <w:rPr>
      <w:rFonts w:eastAsia="黑体"/>
      <w:color w:val="bc7a00"/>
    </w:rPr>
  </w:style>
  <w:style w:type="character" w:customStyle="1" w:styleId="AttributeTok">
    <w:name w:val="AttributeTok"/>
    <w:basedOn w:val="VerbatimChar"/>
    <w:rPr>
      <w:rFonts w:eastAsia="黑体"/>
      <w:color w:val="7d9029"/>
    </w:rPr>
  </w:style>
  <w:style w:type="character" w:customStyle="1" w:styleId="RegionMarkerTok">
    <w:name w:val="RegionMarkerTok"/>
    <w:basedOn w:val="VerbatimChar"/>
    <w:rPr>
      <w:rFonts w:eastAsia="黑体"/>
    </w:rPr>
  </w:style>
  <w:style w:type="character" w:customStyle="1" w:styleId="InformationTok">
    <w:name w:val="InformationTok"/>
    <w:basedOn w:val="VerbatimChar"/>
    <w:rPr>
      <w:rFonts w:eastAsia="黑体"/>
      <w:b/>
      <w:i/>
      <w:color w:val="60a0b0"/>
    </w:rPr>
  </w:style>
  <w:style w:type="character" w:customStyle="1" w:styleId="WarningTok">
    <w:name w:val="WarningTok"/>
    <w:basedOn w:val="VerbatimChar"/>
    <w:rPr>
      <w:rFonts w:eastAsia="黑体"/>
      <w:b/>
      <w:i/>
      <w:color w:val="60a0b0"/>
    </w:rPr>
  </w:style>
  <w:style w:type="character" w:customStyle="1" w:styleId="AlertTok">
    <w:name w:val="AlertTok"/>
    <w:basedOn w:val="VerbatimChar"/>
    <w:rPr>
      <w:rFonts w:eastAsia="黑体"/>
      <w:b/>
      <w:color w:val="ff0000"/>
    </w:rPr>
  </w:style>
  <w:style w:type="character" w:customStyle="1" w:styleId="ErrorTok">
    <w:name w:val="ErrorTok"/>
    <w:basedOn w:val="VerbatimChar"/>
    <w:rPr>
      <w:rFonts w:eastAsia="黑体"/>
      <w:b/>
      <w:color w:val="ff0000"/>
    </w:rPr>
  </w:style>
  <w:style w:type="character" w:customStyle="1" w:styleId="NormalTok">
    <w:name w:val="NormalTok"/>
    <w:basedOn w:val="VerbatimChar"/>
    <w:rPr>
      <w:rFonts w:eastAsia="黑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黑体"/>
        <a:font script="Hant" typeface="黑体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黑体"/>
        <a:cs typeface=""/>
        <a:font script="Jpan" typeface="ＭＳ 明朝"/>
        <a:font script="Hang" typeface="맑은 고딕"/>
        <a:font script="Hans" typeface="黑体"/>
        <a:font script="Hant" typeface="黑体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全桥逆变电路</dc:title>
  <dc:creator>AI 智能体</dc:creator>
  <cp:keywords/>
  <dcterms:created xsi:type="dcterms:W3CDTF">2026-09-08T14:37:06Z</dcterms:created>
  <dcterms:modified xsi:type="dcterms:W3CDTF">2026-09-08T14:37:06Z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