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同步整流-boost-电路"/>
    <w:p>
      <w:pPr>
        <w:pStyle w:val="Heading1"/>
      </w:pPr>
      <w:r>
        <w:rPr>
          <w:rFonts w:hint="eastAsia" w:eastAsia="黑体"/>
        </w:rPr>
        <w:t xml:space="preserve">同步整流</w:t>
      </w:r>
      <w:r>
        <w:rPr>
          <w:rFonts w:eastAsia="黑体"/>
        </w:rPr>
        <w:t xml:space="preserve"> Boost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输入电感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主开关管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同步整流管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（低导通电阻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MOSFET，替代整流二极管）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接控制驱动信号、漏极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接节点②、源极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接节点④；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接浮地/自举驱动信号、漏极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接节点③、源极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接节点②；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一端接节点③、另一端接节点④。</w:t>
      </w:r>
    </w:p>
    <w:p>
      <w:pPr/>
      <w:r>
        <w:rPr>
          <w:rFonts w:hint="eastAsia" w:eastAsia="黑体"/>
        </w:rPr>
        <w:t xml:space="preserve">由此构成”输入经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到开关节点、下管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对地短接储能、上管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（同步管）在关断期从开关节点续流到输出、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跨接输出与地”的同步整流</w:t>
      </w:r>
      <w:r>
        <w:rPr>
          <w:rFonts w:eastAsia="黑体"/>
        </w:rPr>
        <w:t xml:space="preserve"> Boost </w:t>
      </w:r>
      <w:r>
        <w:rPr>
          <w:rFonts w:hint="eastAsia" w:eastAsia="黑体"/>
        </w:rPr>
        <w:t xml:space="preserve">升压组态，增益仍为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，因整流器件用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替代二极管而显著降低导通损耗。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Q1 </w:t>
      </w:r>
      <w:r>
        <w:rPr>
          <w:rFonts w:hint="eastAsia" w:eastAsia="黑体"/>
        </w:rPr>
        <w:t xml:space="preserve">导通时电感储能，Q2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关断阻断反向电流，负载由输出电容供电；Q1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关断时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导通，电感电流经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体二极管与沟道续流到输出端。两管互补导通（含死区），因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导通压降远小于二极管，低压大电流下效率大幅提升。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理想升压比：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电感电流纹波：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同步管导通损耗：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m</m:t>
              </m:r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开关损耗（每管近似）：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  <m:r>
                <m:t>D</m:t>
              </m:r>
            </m:num>
            <m:den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MOSFET </w:t>
            </w:r>
            <w:r>
              <w:rPr>
                <w:rFonts w:hint="eastAsia" w:eastAsia="黑体"/>
              </w:rPr>
              <w:t xml:space="preserve">导通电阻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电感电流有效值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上升/下降时间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↓（低导通电阻管）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导通损耗减小，效率提高，但栅极电荷增大、驱动损耗上升。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高侧</w:t>
      </w:r>
      <w:r>
        <w:rPr>
          <w:rFonts w:eastAsia="黑体"/>
          <w:b/>
          <w:bCs/>
        </w:rPr>
        <w:t xml:space="preserve"> Q2 </w:t>
      </w:r>
      <w:r>
        <w:rPr>
          <w:rFonts w:hint="eastAsia" w:eastAsia="黑体"/>
          <w:b/>
          <w:bCs/>
        </w:rPr>
        <w:t xml:space="preserve">栅极驱动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需自举或浮地驱动，驱动不足会降低效率甚至直通。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纹波减小，但体积与铜损增大。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死区时间设置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过短易直通烧毁，过长则体二极管续流时间变长、损耗增加。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双向导通能力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轻载时可能进入负电感电流（强迫连续模式），效率下降但利于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与瞬态响应。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3.3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0.34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r>
          <m:t>0.005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同步管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MOSFET：低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eastAsia="黑体"/>
        </w:rPr>
        <w:t xml:space="preserve">、低栅极电荷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沟道</w:t>
      </w:r>
      <w:r>
        <w:rPr>
          <w:rFonts w:eastAsia="黑体"/>
        </w:rPr>
        <w:t xml:space="preserve"> MOSFET。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控制芯片：TPS43061、LM5122、LTC3787。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必须设死区时间防止上下管直通，直通会导致短路与器件损坏。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高侧管需要自举电容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电荷泵或专用驱动，确保栅极电压足够抬升。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轻载下同步管允许电流双向，可能造成续流回流，需根据工况选择强制/非强制模式。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PCB </w:t>
      </w:r>
      <w:r>
        <w:rPr>
          <w:rFonts w:hint="eastAsia" w:eastAsia="黑体"/>
        </w:rPr>
        <w:t xml:space="preserve">布局须最小化开关节点面积，抑制</w:t>
      </w:r>
      <w:r>
        <w:rPr>
          <w:rFonts w:eastAsia="黑体"/>
        </w:rPr>
        <w:t xml:space="preserve"> di/dt </w:t>
      </w:r>
      <w:r>
        <w:rPr>
          <w:rFonts w:hint="eastAsia" w:eastAsia="黑体"/>
        </w:rPr>
        <w:t xml:space="preserve">引起的振铃与</w:t>
      </w:r>
      <w:r>
        <w:rPr>
          <w:rFonts w:eastAsia="黑体"/>
        </w:rPr>
        <w:t xml:space="preserve"> EMI。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LM5122 </w:t>
      </w:r>
      <w:r>
        <w:rPr>
          <w:rFonts w:hint="eastAsia" w:eastAsia="黑体"/>
        </w:rPr>
        <w:t xml:space="preserve">产品页与应用笔记。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LTC3787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Boost converter。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同步整流Boost电路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同步整流Boost电路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