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oost-电路"/>
    <w:p>
      <w:pPr>
        <w:pStyle w:val="Heading1"/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个并联的</w:t>
      </w:r>
      <w:r>
        <w:rPr>
          <w:rFonts w:eastAsia="黑体"/>
          <w:b/>
          <w:bCs/>
        </w:rPr>
        <w:t xml:space="preserve"> Boost </w:t>
      </w:r>
      <w:r>
        <w:rPr>
          <w:rFonts w:hint="eastAsia" w:eastAsia="黑体"/>
          <w:b/>
          <w:bCs/>
        </w:rPr>
        <w:t xml:space="preserve">单元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相含输入电感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、主开关管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共享的输入电容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正端、各相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（各相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负端、各相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各元件管脚连接（对第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接相位错开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接节点②_i、源极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由此构成各相以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相位交错导通、共享输入与输出电容的”多相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Boost”组态，保持单相升压关系（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），通过相位交错把等效纹波频率提高到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并把电流应力分散到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相，适用于大电流升压场合。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各相电感在时间上交错地储能与续流，输入电流纹波因各相纹波相位错开而部分抵消；输出电容的充电电流也交错，使输入与输出纹波频率变为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且幅值下降。整体输出电流为各相电流之和，功率均匀分配到每一相。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单相升压比（同单相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Boost）：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输入电流纹波（纹波抵消后，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纹波抵消更强、纹波频率更高，输入/输出电容需求减小，但元件数量与成本上升。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各相电感</w:t>
      </w:r>
      <w:r>
        <w:rPr>
          <w:rFonts w:eastAsia="黑体"/>
          <w:b/>
          <w:bCs/>
        </w:rPr>
        <w:t xml:space="preserve"> L </w:t>
      </w:r>
      <w:r>
        <w:rPr>
          <w:rFonts w:hint="eastAsia" w:eastAsia="黑体"/>
          <w:b/>
          <w:bCs/>
        </w:rPr>
        <w:t xml:space="preserve">一致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电流均衡更好，不均会带来热失衡与纹波不抵消。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纹波与电感需求减小，开关损耗增大。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均流不良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某相过载发热，需外加均流环路或同一控制占空比严格对齐。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占空比与相位数匹配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时纹波抵消最理想。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）、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4.7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2.55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多相控制器：LTC3862、TPS40170、ISL78225。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各相器件与布局需对称，否则电流不均导致局部过热。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交错相位与占空比设定须由控制器保证，避免纹波抵消失效。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输入输出电容仍须满足最小纹波与瞬态要求，但可小于单相等效方案。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多相带来更复杂的驱动与采样，需注意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DSP/模拟控制器的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资源。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TPS40170 </w:t>
      </w:r>
      <w:r>
        <w:rPr>
          <w:rFonts w:hint="eastAsia" w:eastAsia="黑体"/>
        </w:rPr>
        <w:t xml:space="preserve">数据手册（多相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控制器）。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LTC3862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多相Boost电路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