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-buck-电路"/>
    <w:p>
      <w:pPr>
        <w:pStyle w:val="Heading1"/>
      </w:pPr>
      <w:r>
        <w:rPr>
          <w:rFonts w:hint="eastAsia" w:eastAsia="黑体"/>
        </w:rPr>
        <w:t xml:space="preserve">同步整流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一种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降压型（Step-down）开关变换器</w:t>
      </w:r>
      <w:r>
        <w:rPr>
          <w:rFonts w:hint="eastAsia" w:eastAsia="黑体"/>
        </w:rPr>
        <w:t xml:space="preserve">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上管开关管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下管同步整流管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（低导通电阻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MOSFET，替代传统续流二极管）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接互补驱动信号、漏极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由此构成”上管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与下管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串接在开关节点与输出之间、输出电容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跨接输出与地”的同步整流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降压组态，把较高输入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降为较低输出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用低导通电阻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而非常通二极管续流，以降低导通压降、提高效率。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一个开关周期内：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关断时，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给负载供电并为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储能；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导通时，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续流、向负载释放能量。通过调节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即可稳定输出电压。同步整流用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取代二极管，导通压降低，效率更高。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电感电流纹波（峰-峰值）：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t>L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电感选型下限（连续导通模式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输出电容纹波电压（近似，忽略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连续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断续导通边界（负载电阻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占空比（0~1）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减小、输出更平稳，但瞬态响应变慢、体积增大。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输出纹波电压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减小，动态负载时跌落更小。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允许使用更小的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和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，但开关损耗增大。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输出电压升高；稳态关系为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电感电流过大或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过小会进入断续模式（DCM），控制特性会改变。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0.42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0.42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0.59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0.59</m:t>
            </m:r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（忽略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同步降压控制器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转换器：TPS5430、TPS54331、MP2315、SY8088、LM2596（非同步）。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MOSFET：AON7418、Si7461、IRLR7843。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电感：贴片一体成型功率电感。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上下管需设置死区时间，防止直通短路。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同步整流管选用低导通电阻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以降损耗，但需权衡栅极电荷带来的驱动损耗。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环路需补偿：电压模式用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Type-II/III，电流模式相对简单。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输入输出电容需低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ESR，并关注纹波电流额定值。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TI《Basic Calculation of a Buck Converter’s Power Stage》(SLVA477)。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同步整流Buck电路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