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多相-buck-电路"/>
    <w:p>
      <w:pPr>
        <w:pStyle w:val="Heading1"/>
      </w:pPr>
      <w:r>
        <w:rPr>
          <w:rFonts w:hint="eastAsia" w:eastAsia="黑体"/>
        </w:rPr>
        <w:t xml:space="preserve">多相</w:t>
      </w:r>
      <w:r>
        <w:rPr>
          <w:rFonts w:eastAsia="黑体"/>
        </w:rPr>
        <w:t xml:space="preserve"> Buck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个并联的</w:t>
      </w:r>
      <w:r>
        <w:rPr>
          <w:rFonts w:eastAsia="黑体"/>
          <w:b/>
          <w:bCs/>
        </w:rPr>
        <w:t xml:space="preserve"> Buck </w:t>
      </w:r>
      <w:r>
        <w:rPr>
          <w:rFonts w:hint="eastAsia" w:eastAsia="黑体"/>
          <w:b/>
          <w:bCs/>
        </w:rPr>
        <w:t xml:space="preserve">单元</w:t>
      </w:r>
      <w:r>
        <w:rPr>
          <w:rFonts w:hint="eastAsia" w:eastAsia="黑体"/>
        </w:rPr>
        <w:t xml:space="preserve">（第</w:t>
      </w:r>
      <w:r>
        <w:rPr>
          <w:rFonts w:eastAsia="黑体"/>
        </w:rPr>
        <w:t xml:space="preserve"> </w:t>
      </w:r>
      <m:oMath>
        <m:r>
          <m:t>i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相含高侧开关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hint="eastAsia" w:eastAsia="黑体"/>
        </w:rPr>
        <w:t xml:space="preserve">、低侧开关或续流二极管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</w:rPr>
        <w:t xml:space="preserve">/D_i </w:t>
      </w:r>
      <w:r>
        <w:rPr>
          <w:rFonts w:hint="eastAsia" w:eastAsia="黑体"/>
        </w:rPr>
        <w:t xml:space="preserve">与电感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，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>
          <w:rFonts w:hint="eastAsia" w:eastAsia="黑体"/>
        </w:rPr>
        <w:t xml:space="preserve">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共享的输入电容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  <w:b/>
          <w:bCs/>
        </w:rPr>
        <w:t xml:space="preserve">、输出电容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类关键节点：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（输入电压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的一端与各相高侧开关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第</w:t>
      </w:r>
      <w:r>
        <w:rPr>
          <w:rFonts w:eastAsia="黑体"/>
          <w:b/>
          <w:bCs/>
        </w:rPr>
        <w:t xml:space="preserve"> </w:t>
      </w:r>
      <m:oMath>
        <m:r>
          <m:t>i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相开关节点</w:t>
      </w:r>
      <w:r>
        <w:rPr>
          <w:rFonts w:hint="eastAsia" w:eastAsia="黑体"/>
        </w:rPr>
        <w:t xml:space="preserve">（</w:t>
      </w:r>
      <m:oMath>
        <m:sSub>
          <m:e>
            <m:r>
              <m:t>S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S、低侧开关/二极管的连接端子与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（各相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的另一端、各相低侧开关/二极管端子与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的另一端相连）。</w:t>
      </w:r>
    </w:p>
    <w:p>
      <w:pPr/>
      <w:r>
        <w:rPr>
          <w:rFonts w:hint="eastAsia" w:eastAsia="黑体"/>
        </w:rPr>
        <w:t xml:space="preserve">各元件管脚连接（对第</w:t>
      </w:r>
      <w:r>
        <w:rPr>
          <w:rFonts w:eastAsia="黑体"/>
        </w:rPr>
        <w:t xml:space="preserve"> </w:t>
      </w:r>
      <m:oMath>
        <m:r>
          <m:t>i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相）：</w:t>
      </w:r>
      <m:oMath>
        <m:sSub>
          <m:e>
            <m:r>
              <m:t>S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接相位错开</w:t>
      </w:r>
      <w:r>
        <w:rPr>
          <w:rFonts w:eastAsia="黑体"/>
        </w:rPr>
        <w:t xml:space="preserve"> </w:t>
      </w:r>
      <m:oMath>
        <m:r>
          <m:t>360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的驱动信号、漏极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接节点①、源极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接节点②_i；</w:t>
      </w:r>
      <m:oMath>
        <m:sSub>
          <m:e>
            <m:r>
              <m:t>Q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若为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则栅极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接互补驱动信号、漏极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接节点②_i、源极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接节点④，若为续流二极管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则阳极接节点④、阴极接节点②_i；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一端接节点②_i、另一端接节点③；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一端接节点①、另一端接节点④；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一端接节点③、另一端接节点④。</w:t>
      </w:r>
    </w:p>
    <w:p>
      <w:pPr/>
      <w:r>
        <w:rPr>
          <w:rFonts w:hint="eastAsia" w:eastAsia="黑体"/>
        </w:rPr>
        <w:t xml:space="preserve">由此构成各相以</w:t>
      </w:r>
      <w:r>
        <w:rPr>
          <w:rFonts w:eastAsia="黑体"/>
        </w:rPr>
        <w:t xml:space="preserve"> </w:t>
      </w:r>
      <m:oMath>
        <m:r>
          <m:t>360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相位交错导通、共享输入与输出电容的”多相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Buck”组态（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D</m:t>
        </m:r>
        <m:r>
          <m:t> 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），通过纹波抵消把等效纹波频率提高到</w:t>
      </w:r>
      <w:r>
        <w:rPr>
          <w:rFonts w:eastAsia="黑体"/>
        </w:rPr>
        <w:t xml:space="preserve"> </w:t>
      </w:r>
      <m:oMath>
        <m:r>
          <m:t>N</m:t>
        </m:r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hint="eastAsia" w:eastAsia="黑体"/>
        </w:rPr>
        <w:t xml:space="preserve">、把单相电流应力降到</w:t>
      </w:r>
      <w:r>
        <w:rPr>
          <w:rFonts w:eastAsia="黑体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hint="eastAsia" w:eastAsia="黑体"/>
        </w:rPr>
        <w:t xml:space="preserve">，是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CPU/GPU/服务器等大电流、低压场合的标准方案。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各相电感电流在输出端汇集，因各相开关错相，电感电流纹波在叠加时部分抵消，使总输出纹波幅值下降、纹波频率升高到</w:t>
      </w:r>
      <w:r>
        <w:rPr>
          <w:rFonts w:eastAsia="黑体"/>
        </w:rPr>
        <w:t xml:space="preserve"> </w:t>
      </w:r>
      <m:oMath>
        <m:r>
          <m:t>N</m:t>
        </m:r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hint="eastAsia" w:eastAsia="黑体"/>
        </w:rPr>
        <w:t xml:space="preserve">，降低对输出电容的需求。每相仅承担总电流的</w:t>
      </w:r>
      <w:r>
        <w:rPr>
          <w:rFonts w:eastAsia="黑体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hint="eastAsia" w:eastAsia="黑体"/>
        </w:rPr>
        <w:t xml:space="preserve">，功率与热量均匀分配，整体瞬态响应与效率优于同电流的单相方案。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稳态输出电压：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D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每相电感电流纹波：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r>
                <m:t>D</m:t>
              </m:r>
            </m:num>
            <m:den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总输出电流纹波（纹波抵消后）：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BlockText"/>
      </w:pPr>
      <w:r>
        <w:rPr>
          <w:rFonts w:hint="eastAsia" w:eastAsia="黑体"/>
        </w:rPr>
        <w:t xml:space="preserve">该输出纹波抵消因子随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落在各</w:t>
      </w:r>
      <w:r>
        <w:rPr>
          <w:rFonts w:eastAsia="黑体"/>
        </w:rPr>
        <w:t xml:space="preserve"> </w:t>
      </w:r>
      <m:oMath>
        <m:r>
          <m:t>k</m:t>
        </m:r>
        <m:r>
          <m:rPr>
            <m:sty m:val="p"/>
          </m:rPr>
          <m:t>/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区间而分段，需按区间取值；该式在理想</w:t>
      </w:r>
      <w:r>
        <w:rPr>
          <w:rFonts w:eastAsia="黑体"/>
        </w:rPr>
        <w:t xml:space="preserve"> CCM </w:t>
      </w:r>
      <w:r>
        <w:rPr>
          <w:rFonts w:hint="eastAsia" w:eastAsia="黑体"/>
        </w:rPr>
        <w:t xml:space="preserve">工况下成立。</w:t>
      </w:r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纹波完全抵消条件：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每相平均电流：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N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相数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每相电感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单相开关频率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输出总电流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总输出纹波电流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相数</w:t>
      </w:r>
      <w:r>
        <w:rPr>
          <w:rFonts w:eastAsia="黑体"/>
          <w:b/>
          <w:bCs/>
        </w:rPr>
        <w:t xml:space="preserve"> N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纹波抵消更强、每相电流应力更低，输出电容需求减小，但器件与成本上升。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各相电感一致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均流与纹波抵消良好；不一致则热失衡、抵消退化。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磁件与电容减小、瞬态更快，开关损耗增大。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纹波抵消最彻底，常规设计尽量靠近该比值。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均流环路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决定各相电流分配是否均衡，影响整体可靠性。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黑体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0.1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0.1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、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500</m:t>
        </m:r>
        <m:r>
          <m:t> </m:t>
        </m:r>
        <m:r>
          <m:rPr>
            <m:nor/>
            <m:sty m:val="p"/>
          </m:rPr>
          <m:t>kHz</m:t>
        </m:r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常用：按需选型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多相</w:t>
      </w:r>
      <w:r>
        <w:rPr>
          <w:rFonts w:eastAsia="黑体"/>
        </w:rPr>
        <w:t xml:space="preserve"> Buck </w:t>
      </w:r>
      <w:r>
        <w:rPr>
          <w:rFonts w:hint="eastAsia" w:eastAsia="黑体"/>
        </w:rPr>
        <w:t xml:space="preserve">控制器：TPS53679、ISL68137、RAA228228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类。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各相布局需对称，开关节点远离敏感信号，避免电流不均。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控制器需支持相数配置、交错相位与该相数下的均流策略。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低压大电流下占空比很低，注意最小脉宽限制与采样噪声。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输出电容虽可减小，但仍须满足瞬态跌落与</w:t>
      </w:r>
      <w:r>
        <w:rPr>
          <w:rFonts w:eastAsia="黑体"/>
        </w:rPr>
        <w:t xml:space="preserve"> ESR </w:t>
      </w:r>
      <w:r>
        <w:rPr>
          <w:rFonts w:hint="eastAsia" w:eastAsia="黑体"/>
        </w:rPr>
        <w:t xml:space="preserve">要求。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TI TPS53679 </w:t>
      </w:r>
      <w:r>
        <w:rPr>
          <w:rFonts w:hint="eastAsia" w:eastAsia="黑体"/>
        </w:rPr>
        <w:t xml:space="preserve">数据手册（多相降压）。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Wikipedia: Buck converter。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多相Buck电路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多相Buck电路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