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压模式控制-buck-电路"/>
    <w:p>
      <w:pPr>
        <w:pStyle w:val="Heading1"/>
      </w:pPr>
      <w:r>
        <w:rPr>
          <w:rFonts w:hint="eastAsia" w:eastAsia="黑体"/>
        </w:rPr>
        <w:t xml:space="preserve">电压模式控制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电路由高侧开关管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Q1、续流二极管（或低侧同步整流开关管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Q2）D、储能电感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四个主元件构成，配合电压模式控制（VMC）环路。关键节点如下：输入节点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的漏极（D）；开关节点</w:t>
      </w:r>
      <w:r>
        <w:rPr>
          <w:rFonts w:eastAsia="黑体"/>
        </w:rPr>
        <w:t xml:space="preserve"> SW </w:t>
      </w: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的源极、二极管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的阴极（或</w:t>
      </w:r>
      <w:r>
        <w:rPr>
          <w:rFonts w:eastAsia="黑体"/>
        </w:rPr>
        <w:t xml:space="preserve"> Q2 </w:t>
      </w:r>
      <w:r>
        <w:rPr>
          <w:rFonts w:hint="eastAsia" w:eastAsia="黑体"/>
        </w:rPr>
        <w:t xml:space="preserve">的漏极）与电感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的入端三者相连而成；输出节点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的出端与输出电容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的上端相连并接负载，输出电容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的下端与二极管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的阳极（或</w:t>
      </w:r>
      <w:r>
        <w:rPr>
          <w:rFonts w:eastAsia="黑体"/>
        </w:rPr>
        <w:t xml:space="preserve"> Q2 </w:t>
      </w:r>
      <w:r>
        <w:rPr>
          <w:rFonts w:hint="eastAsia" w:eastAsia="黑体"/>
        </w:rPr>
        <w:t xml:space="preserve">的源极）一并接到地节点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各元件管脚连接：高侧开关管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D（管脚漏极）接输入节点，栅极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控制信号，源极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SW；续流二极管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的阴极接开关节点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SW、阳极接地；若用低侧开关管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Q2，则</w:t>
      </w:r>
      <w:r>
        <w:rPr>
          <w:rFonts w:eastAsia="黑体"/>
        </w:rPr>
        <w:t xml:space="preserve"> Q2 </w:t>
      </w:r>
      <w:r>
        <w:rPr>
          <w:rFonts w:hint="eastAsia" w:eastAsia="黑体"/>
        </w:rPr>
        <w:t xml:space="preserve">的漏极接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SW、源极接地、栅极接与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互补的驱动信号；电感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SW、另一端接输出节点；输出电容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一端接输出节点、另一端接地。</w:t>
      </w:r>
    </w:p>
    <w:p>
      <w:pPr/>
      <w:r>
        <w:rPr>
          <w:rFonts w:hint="eastAsia" w:eastAsia="黑体"/>
        </w:rPr>
        <w:t xml:space="preserve">就组态而言，这是一个由高侧开关、续流器件、储能电感与输出电容构成的降压（Buck）功率级，叠加仅含电压外环、不含电流内环的电压模式控制（VMC），通过对输出电压的误差放大与固定斜坡比较生成占空比，实现降压稳压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输出电压经分压采样与参考电压比较，误差放大器产生控制电压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与固定频率锯齿波斜坡比较生成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信号，控制开关管占空比。当输出偏低时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升高、占空比增大使输出回升。因功率级为二阶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网络，需进行频率补偿以保证环路稳定。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稳态输出电压：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D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电感电流纹波：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LC </w:t>
      </w:r>
      <w:r>
        <w:rPr>
          <w:rFonts w:hint="eastAsia" w:eastAsia="黑体"/>
        </w:rPr>
        <w:t xml:space="preserve">谐振频率（功率级双极点）：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输出电容</w:t>
      </w:r>
      <w:r>
        <w:rPr>
          <w:rFonts w:eastAsia="黑体"/>
        </w:rPr>
        <w:t xml:space="preserve"> ESR </w:t>
      </w:r>
      <w:r>
        <w:rPr>
          <w:rFonts w:hint="eastAsia" w:eastAsia="黑体"/>
        </w:rPr>
        <w:t xml:space="preserve">零点：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S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S</m:t>
                  </m:r>
                  <m:r>
                    <m:t>R</m:t>
                  </m:r>
                </m:sub>
              </m:sSub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电压采样分压：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S</m:t>
                  </m:r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电容等效串联电阻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反馈分压电阻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rFonts w:eastAsia="黑体"/>
          <w:b/>
          <w:bCs/>
        </w:rPr>
        <w:t xml:space="preserve">、</w:t>
      </w: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变化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改变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双极点位置，直接移动环路增益穿越点，需重调补偿。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电容</w:t>
      </w:r>
      <w:r>
        <w:rPr>
          <w:rFonts w:eastAsia="黑体"/>
          <w:b/>
          <w:bCs/>
        </w:rPr>
        <w:t xml:space="preserve"> ESR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ESR </w:t>
      </w:r>
      <w:r>
        <w:rPr>
          <w:rFonts w:hint="eastAsia" w:eastAsia="黑体"/>
        </w:rPr>
        <w:t xml:space="preserve">零点提供相位提升，低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ESR（陶瓷电容）时零点更高，可能需要</w:t>
      </w:r>
      <w:r>
        <w:rPr>
          <w:rFonts w:eastAsia="黑体"/>
        </w:rPr>
        <w:t xml:space="preserve"> III </w:t>
      </w:r>
      <w:r>
        <w:rPr>
          <w:rFonts w:hint="eastAsia" w:eastAsia="黑体"/>
        </w:rPr>
        <w:t xml:space="preserve">型补偿。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输入端电压波动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电压模式对输入电压变化响应慢，需靠补偿环路抑制（电流模式则天然抗输入扰动）。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输出电容增大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瞬态跌落减小但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降低，带宽更难做高。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斜坡幅度/频率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决定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增益，影响环路整体增益与稳定性。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0.417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5.03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电压模式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控制器：TPS54331、TL494（电压模式）、MP1584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类。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必须设计</w:t>
      </w:r>
      <w:r>
        <w:rPr>
          <w:rFonts w:eastAsia="黑体"/>
        </w:rPr>
        <w:t xml:space="preserve"> II </w:t>
      </w:r>
      <w:r>
        <w:rPr>
          <w:rFonts w:hint="eastAsia" w:eastAsia="黑体"/>
        </w:rPr>
        <w:t xml:space="preserve">型或</w:t>
      </w:r>
      <w:r>
        <w:rPr>
          <w:rFonts w:eastAsia="黑体"/>
        </w:rPr>
        <w:t xml:space="preserve"> III </w:t>
      </w:r>
      <w:r>
        <w:rPr>
          <w:rFonts w:hint="eastAsia" w:eastAsia="黑体"/>
        </w:rPr>
        <w:t xml:space="preserve">型环路补偿，否则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双极点导致相位裕量不足而振荡。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对输入电压突变响应慢，前级变化大时需较大的输入电容或前馈补偿。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无逐周期限流，需另加快速过流保护。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采样分压电阻取值兼顾精度与静态功耗，并远离开关噪声走线。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SLVA057（Understanding</w:t>
      </w:r>
      <w:r>
        <w:rPr>
          <w:rFonts w:eastAsia="黑体"/>
        </w:rPr>
        <w:t xml:space="preserve"> Buck Power </w:t>
      </w:r>
      <w:r>
        <w:rPr>
          <w:rFonts w:hint="eastAsia" w:eastAsia="黑体"/>
        </w:rPr>
        <w:t xml:space="preserve">Stages）。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TL494 </w:t>
      </w:r>
      <w:r>
        <w:rPr>
          <w:rFonts w:hint="eastAsia" w:eastAsia="黑体"/>
        </w:rPr>
        <w:t xml:space="preserve">数据手册（电压模式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PWM）。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电压模式控制Buck电路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电压模式控制Buck电路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