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倍压整流电路"/>
    <w:p>
      <w:pPr>
        <w:pStyle w:val="Heading1"/>
      </w:pPr>
      <w:r>
        <w:rPr>
          <w:rFonts w:hint="eastAsia" w:eastAsia="黑体"/>
        </w:rPr>
        <w:t xml:space="preserve">多倍压整流电路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交替级联而成，构成</w:t>
      </w:r>
      <w:r>
        <w:rPr>
          <w:rFonts w:eastAsia="黑体"/>
        </w:rPr>
        <w:t xml:space="preserve"> Cockcroft-Walton </w:t>
      </w:r>
      <w:r>
        <w:rPr>
          <w:rFonts w:hint="eastAsia" w:eastAsia="黑体"/>
        </w:rPr>
        <w:t xml:space="preserve">型倍压网络。关键节点有：交流输入节点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A（接交流源正端）、输入负端节点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G（接交流源另一极，作为各级公共参考端）、各级中间节点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级二极管阴极与对应电容上端的抽头），以及输出节点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O（末级电容上端引出）作为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正端。</w:t>
      </w:r>
    </w:p>
    <w:p>
      <w:pPr/>
      <w:r>
        <w:rPr>
          <w:rFonts w:hint="eastAsia" w:eastAsia="黑体"/>
        </w:rPr>
        <w:t xml:space="preserve">各元件管脚连接：第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级二极管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阳极接输入负端节点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G、阴极接中间节点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eastAsia="黑体"/>
        </w:rPr>
        <w:t xml:space="preserve">）二极管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阳极接前一级中间节点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、阴极接本级中间节点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。电容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、另一端接交流输入节点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级（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eastAsia="黑体"/>
        </w:rPr>
        <w:t xml:space="preserve">）电容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、另一端接到与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交替相连的交流输入节点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或节点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G（相邻级电容的另一端分别在</w:t>
      </w:r>
      <w:r>
        <w:rPr>
          <w:rFonts w:eastAsia="黑体"/>
        </w:rPr>
        <w:t xml:space="preserve"> A、G </w:t>
      </w:r>
      <w:r>
        <w:rPr>
          <w:rFonts w:hint="eastAsia" w:eastAsia="黑体"/>
        </w:rPr>
        <w:t xml:space="preserve">之间交替），末级电容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上端即输出节点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O。交流在正、负半周交替通过二极管对各电容充电，前级电容电压与输入串联叠加到后级，使电压逐级抬升。</w:t>
      </w:r>
    </w:p>
    <w:p>
      <w:pPr/>
      <w:r>
        <w:rPr>
          <w:rFonts w:hint="eastAsia" w:eastAsia="黑体"/>
        </w:rPr>
        <w:t xml:space="preserve">组态上这是一个”二极管-电容逐级泵升”的多倍压整流器，理想输出约为输入峰值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倍、每级二极管反向峰值电压为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，无需变压器即可产生直流高压，适合高压小电流场合。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各级电容在输入正、负半周交替充电，并与前一级电容上的电压串联叠加，使电压逐级”抬升”；每增加一级，理想输出约增加一级峰值电压，最终输出为输入峰值电压的整数（或按级数倍增）倍。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理想输出（空载，Cockcroft-Walton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负载时的输出压降：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每级二极管反向峰值电压：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输入电源频率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每级电容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输出电压按</w:t>
      </w:r>
      <w:r>
        <w:rPr>
          <w:rFonts w:eastAsia="黑体"/>
        </w:rPr>
        <w:t xml:space="preserve"> </w:t>
      </w:r>
      <m:oMath>
        <m:r>
          <m:t>2</m:t>
        </m:r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升高，但压降与纹波以多项式关系快速恶化。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压降与纹波减小、带载能力提高，成本与体积增大。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输出压降与纹波显著增大，高压带载能力弱。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同样电容下压降、纹波减小，可用更小电容。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、空载：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170</m:t>
        </m:r>
        <m:r>
          <m:rPr>
            <m:sty m:val="p"/>
          </m:rPr>
          <m:t>=</m:t>
        </m:r>
        <m:r>
          <m:t>680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电容：高压陶瓷、电解电容（耐压逐级递增）。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仅适合高压、极小电流负载，带载电压下降明显。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各级电容与二极管耐压逐级升高，须按峰值逐级选型。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无变压器隔离，输出为浮空高压，注意安全防护。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纹波与压降随级数快速增大，级数不宜过多。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multiplier / Cockcroft–Walton generator。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多倍压整流电路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多倍压整流电路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