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备用电池切换电路"/>
    <w:p>
      <w:pPr>
        <w:pStyle w:val="Heading1"/>
      </w:pPr>
      <w:r>
        <w:rPr>
          <w:rFonts w:hint="eastAsia" w:eastAsia="黑体"/>
        </w:rPr>
        <w:t xml:space="preserve">备用电池切换电路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本电路由主电源（适配器/主电池）、备用电池、两只开关器件（二极管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Q1、Q2）以及切换控制逻辑（编号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IC1）组成。关键节点有：主电源输入节点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MAIN、备用电池输入节点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BAK、两路汇合后的负载供电节点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OUT，以及公共地节点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GND。两路电源分别经各自开关器件汇合到节点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为负载供电。</w:t>
      </w:r>
    </w:p>
    <w:p>
      <w:pPr/>
      <w:r>
        <w:rPr>
          <w:rFonts w:hint="eastAsia" w:eastAsia="黑体"/>
        </w:rPr>
        <w:t xml:space="preserve">各元件管脚连接：以二极管</w:t>
      </w:r>
      <w:r>
        <w:rPr>
          <w:rFonts w:eastAsia="黑体"/>
        </w:rPr>
        <w:t xml:space="preserve"> OR </w:t>
      </w:r>
      <w:r>
        <w:rPr>
          <w:rFonts w:hint="eastAsia" w:eastAsia="黑体"/>
        </w:rPr>
        <w:t xml:space="preserve">方案为例，二极管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阳极接主电源节点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MAIN、阴极接输出节点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OUT；二极管</w:t>
      </w:r>
      <w:r>
        <w:rPr>
          <w:rFonts w:eastAsia="黑体"/>
        </w:rPr>
        <w:t xml:space="preserve"> D2 </w:t>
      </w:r>
      <w:r>
        <w:rPr>
          <w:rFonts w:hint="eastAsia" w:eastAsia="黑体"/>
        </w:rPr>
        <w:t xml:space="preserve">阳极接备用电池节点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BAK、阴极接输出节点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OUT，二者阴极并联，输出取电压较高的一路。以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方案为例，Q1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MAIN、漏极接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BAK、漏极接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OUT，两管栅极分别由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驱动，IC1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经分压电阻采样主电源电压，其地端接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GND。主电源正常时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Q1（或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D1）导通对负载供电并对备用电池浮充，主电源跌落时翻转由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Q2（或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D2）向负载供电。</w:t>
      </w:r>
    </w:p>
    <w:p>
      <w:pPr/>
      <w:r>
        <w:rPr>
          <w:rFonts w:hint="eastAsia" w:eastAsia="黑体"/>
        </w:rPr>
        <w:t xml:space="preserve">组态上这是一个”主电源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备用电池”双路二极管</w:t>
      </w:r>
      <w:r>
        <w:rPr>
          <w:rFonts w:eastAsia="黑体"/>
        </w:rPr>
        <w:t xml:space="preserve"> OR / </w:t>
      </w:r>
      <w:r>
        <w:rPr>
          <w:rFonts w:hint="eastAsia" w:eastAsia="黑体"/>
        </w:rPr>
        <w:t xml:space="preserve">受控开关的无缝掉电切换组态，用于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RTC、存储器等需不间断供电的场合。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主电源正常时开关切换使负载接主电源并对备用电池浮充；当检测到主电源电压跌落至阈值以下，切换控制迅速翻转为由备用电池经开关（或二极管）向负载供电，实现无缝（或近无缝）掉电保持。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二极管</w:t>
      </w:r>
      <w:r>
        <w:rPr>
          <w:rFonts w:eastAsia="黑体"/>
        </w:rPr>
        <w:t xml:space="preserve"> OR </w:t>
      </w:r>
      <w:r>
        <w:rPr>
          <w:rFonts w:hint="eastAsia" w:eastAsia="黑体"/>
        </w:rPr>
        <w:t xml:space="preserve">方案的输出电压：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 w:eastAsia="黑体"/>
        </w:rPr>
        <w:t xml:space="preserve">其中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为导通二极管的正向压降。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双二极管压降损失（肖特基约</w:t>
      </w:r>
      <w:r>
        <w:rPr>
          <w:rFonts w:eastAsia="黑体"/>
        </w:rPr>
        <w:t xml:space="preserve"> 0.3 </w:t>
      </w:r>
      <w:r>
        <w:rPr>
          <w:rFonts w:hint="eastAsia" w:eastAsia="黑体"/>
        </w:rPr>
        <w:t xml:space="preserve">V，硅管约</w:t>
      </w:r>
      <w:r>
        <w:rPr>
          <w:rFonts w:eastAsia="黑体"/>
        </w:rPr>
        <w:t xml:space="preserve"> 0.6 </w:t>
      </w:r>
      <w:r>
        <w:rPr>
          <w:rFonts w:hint="eastAsia" w:eastAsia="黑体"/>
        </w:rPr>
        <w:t xml:space="preserve">V）：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掉电保持时间（由储能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备用容量决定）：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主电源电压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  <m:r>
                    <m:t>u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备用电池电压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保持电容容量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掉电保持时间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二极管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压降损失越小，备用电压越接近满电压（肖特基优于硅管）。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开关管（MOSFET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黑体"/>
        </w:rPr>
        <w:t xml:space="preserve">）越小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切换压降越小、发热越低。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保持电容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掉电后可维持供电的时间越长。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切换迟滞阈值设定越小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切换越敏感，但也容易出现误触发振荡。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主电源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V、备用电池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V、肖特基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：主电源存在时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=</m:t>
        </m:r>
        <m:r>
          <m:t>4.7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；主电源掉电后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=</m:t>
        </m:r>
        <m:r>
          <m:t>2.7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保持电容</w:t>
      </w:r>
      <w:r>
        <w:rPr>
          <w:rFonts w:eastAsia="黑体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−</m:t>
            </m:r>
            <m:r>
              <m:t>3.3</m:t>
            </m:r>
            <m:r>
              <m:rPr>
                <m:sty m:val="p"/>
              </m:rPr>
              <m:t>)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17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肖特基二极管：BAT54、1N5819。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</w:t>
      </w:r>
      <w:r>
        <w:rPr>
          <w:rFonts w:eastAsia="黑体"/>
        </w:rPr>
        <w:t xml:space="preserve"> MOS </w:t>
      </w:r>
      <w:r>
        <w:rPr>
          <w:rFonts w:hint="eastAsia" w:eastAsia="黑体"/>
        </w:rPr>
        <w:t xml:space="preserve">管：AO3400（N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沟道）、Si2301（P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切换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电源管理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IC：LTC4412、TPS2113A。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采用二极管</w:t>
      </w:r>
      <w:r>
        <w:rPr>
          <w:rFonts w:eastAsia="黑体"/>
        </w:rPr>
        <w:t xml:space="preserve"> OR </w:t>
      </w:r>
      <w:r>
        <w:rPr>
          <w:rFonts w:hint="eastAsia" w:eastAsia="黑体"/>
        </w:rPr>
        <w:t xml:space="preserve">时有固定压降损耗，低压差要求高的场合改用理想二极管控制器（MOSFET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方案）。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切换瞬间可能产生短暂电压跌落，需确认后级电路能否承受。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备用电池长期浮充需控制好充电终止电压，避免过充。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若两路电源直接并联，严禁不同电压的电池直接硬并联。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</w:t>
      </w:r>
      <w:r>
        <w:rPr>
          <w:rFonts w:hint="eastAsia" w:eastAsia="黑体"/>
        </w:rPr>
        <w:t xml:space="preserve">PowerPath（Power</w:t>
      </w:r>
      <w:r>
        <w:rPr>
          <w:rFonts w:eastAsia="黑体"/>
        </w:rPr>
        <w:t xml:space="preserve"> path </w:t>
      </w:r>
      <w:r>
        <w:rPr>
          <w:rFonts w:hint="eastAsia" w:eastAsia="黑体"/>
        </w:rPr>
        <w:t xml:space="preserve">management）。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Linear Technology(ADI) </w:t>
      </w:r>
      <w:r>
        <w:rPr>
          <w:rFonts w:hint="eastAsia" w:eastAsia="黑体"/>
        </w:rPr>
        <w:t xml:space="preserve">AN97：LTC4412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应用说明。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TPS2113A。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备用电池切换电路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备用电池切换电路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