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同相放大电路"/>
    <w:p>
      <w:pPr>
        <w:pStyle w:val="Heading1"/>
      </w:pPr>
      <w:r>
        <w:rPr>
          <w:rFonts w:hint="eastAsia" w:eastAsia="黑体"/>
        </w:rPr>
        <w:t xml:space="preserve">同相放大电路</w:t>
      </w:r>
    </w:p>
    <w:bookmarkStart w:id="19" w:name="拓扑描述"/>
    <w:p>
      <w:pPr>
        <w:pStyle w:val="Heading2"/>
      </w:pPr>
      <w:r>
        <w:rPr>
          <w:rFonts w:hint="eastAsia" w:eastAsia="黑体"/>
        </w:rPr>
        <w:t xml:space="preserve">拓扑描述</w:t>
      </w:r>
    </w:p>
    <w:p>
      <w:pPr>
        <w:pStyle w:val="FirstParagraph"/>
      </w:pPr>
      <w:r>
        <w:rPr>
          <w:rFonts w:hint="eastAsia" w:eastAsia="黑体"/>
        </w:rPr>
        <w:t xml:space="preserve">由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一个运算放大器</w:t>
      </w:r>
      <w:r>
        <w:rPr>
          <w:rFonts w:eastAsia="黑体"/>
          <w:b/>
          <w:bCs/>
        </w:rPr>
        <w:t xml:space="preserve"> A1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两个电阻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rPr>
          <w:rFonts w:eastAsia="黑体"/>
          <w:b/>
          <w:bCs/>
        </w:rPr>
        <w:t xml:space="preserve">、</w:t>
      </w:r>
      <m:oMath>
        <m:sSub>
          <m:e>
            <m:r>
              <m:t>R</m:t>
            </m:r>
          </m:e>
          <m:sub>
            <m:r>
              <m:t>f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组成。电路共有</w:t>
      </w:r>
      <w:r>
        <w:rPr>
          <w:rFonts w:eastAsia="黑体"/>
        </w:rPr>
        <w:t xml:space="preserve"> 4 </w:t>
      </w:r>
      <w:r>
        <w:rPr>
          <w:rFonts w:hint="eastAsia" w:eastAsia="黑体"/>
        </w:rPr>
        <w:t xml:space="preserve">个关键节点：</w:t>
      </w:r>
      <w:r>
        <w:rPr>
          <w:rFonts w:hint="eastAsia" w:eastAsia="黑体"/>
          <w:b/>
          <w:bCs/>
        </w:rPr>
        <w:t xml:space="preserve">节点①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输入节点</w:t>
      </w:r>
      <w:r>
        <w:rPr>
          <w:rFonts w:hint="eastAsia" w:eastAsia="黑体"/>
        </w:rPr>
        <w:t xml:space="preserve">（信号源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正端直接接</w:t>
      </w:r>
      <w:r>
        <w:rPr>
          <w:rFonts w:eastAsia="黑体"/>
        </w:rPr>
        <w:t xml:space="preserve"> A1 </w:t>
      </w:r>
      <w:r>
        <w:rPr>
          <w:rFonts w:hint="eastAsia" w:eastAsia="黑体"/>
        </w:rPr>
        <w:t xml:space="preserve">的同相输入端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IN+）；</w:t>
      </w:r>
      <w:r>
        <w:rPr>
          <w:rFonts w:hint="eastAsia" w:eastAsia="黑体"/>
          <w:b/>
          <w:bCs/>
        </w:rPr>
        <w:t xml:space="preserve">节点②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反相输入端节点</w:t>
      </w:r>
      <w:r>
        <w:rPr>
          <w:rFonts w:hint="eastAsia" w:eastAsia="黑体"/>
        </w:rPr>
        <w:t xml:space="preserve">（A1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的反相输入端</w:t>
      </w:r>
      <w:r>
        <w:rPr>
          <w:rFonts w:eastAsia="黑体"/>
        </w:rPr>
        <w:t xml:space="preserve"> IN−、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上端、</w:t>
      </w:r>
      <m:oMath>
        <m:sSub>
          <m:e>
            <m:r>
              <m:t>R</m:t>
            </m:r>
          </m:e>
          <m:sub>
            <m:r>
              <m:t>f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下端三者相连）；</w:t>
      </w:r>
      <w:r>
        <w:rPr>
          <w:rFonts w:hint="eastAsia" w:eastAsia="黑体"/>
          <w:b/>
          <w:bCs/>
        </w:rPr>
        <w:t xml:space="preserve">节点③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输出节点</w:t>
      </w:r>
      <w:r>
        <w:rPr>
          <w:rFonts w:hint="eastAsia" w:eastAsia="黑体"/>
        </w:rPr>
        <w:t xml:space="preserve">（A1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的输出端</w:t>
      </w:r>
      <w:r>
        <w:rPr>
          <w:rFonts w:eastAsia="黑体"/>
        </w:rPr>
        <w:t xml:space="preserve"> OUT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f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上端相连，作为输出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rPr>
          <w:rFonts w:hint="eastAsia" w:eastAsia="黑体"/>
        </w:rPr>
        <w:t xml:space="preserve">）；</w:t>
      </w:r>
      <w:r>
        <w:rPr>
          <w:rFonts w:hint="eastAsia" w:eastAsia="黑体"/>
          <w:b/>
          <w:bCs/>
        </w:rPr>
        <w:t xml:space="preserve">节点④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地</w:t>
      </w:r>
      <w:r>
        <w:rPr>
          <w:rFonts w:eastAsia="黑体"/>
          <w:b/>
          <w:bCs/>
        </w:rPr>
        <w:t xml:space="preserve"> GND</w:t>
      </w:r>
      <w:r>
        <w:rPr>
          <w:rFonts w:eastAsia="黑体"/>
        </w:rPr>
        <w:t xml:space="preserve">。</w:t>
      </w:r>
    </w:p>
    <w:p>
      <w:pPr/>
      <w:r>
        <w:rPr>
          <w:rFonts w:hint="eastAsia" w:eastAsia="黑体"/>
        </w:rPr>
        <w:t xml:space="preserve">各元件管脚连接：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一端接反相输入端节点、另一端接地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GND；</w:t>
      </w:r>
      <m:oMath>
        <m:sSub>
          <m:e>
            <m:r>
              <m:t>R</m:t>
            </m:r>
          </m:e>
          <m:sub>
            <m:r>
              <m:t>f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一端接反相输入端节点、另一端接输出节点；</w:t>
      </w:r>
      <w:r>
        <w:rPr>
          <w:rFonts w:eastAsia="黑体"/>
          <w:b/>
          <w:bCs/>
        </w:rPr>
        <w:t xml:space="preserve">A1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IN+ </w:t>
      </w:r>
      <w:r>
        <w:rPr>
          <w:rFonts w:hint="eastAsia" w:eastAsia="黑体"/>
        </w:rPr>
        <w:t xml:space="preserve">接输入节点、IN−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接反相输入端节点、OUT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接输出节点、V+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+VCC、V−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−VEE（单电源时</w:t>
      </w:r>
      <w:r>
        <w:rPr>
          <w:rFonts w:eastAsia="黑体"/>
        </w:rPr>
        <w:t xml:space="preserve"> V− </w:t>
      </w:r>
      <w:r>
        <w:rPr>
          <w:rFonts w:hint="eastAsia" w:eastAsia="黑体"/>
        </w:rPr>
        <w:t xml:space="preserve">接地）。</w:t>
      </w:r>
    </w:p>
    <w:p>
      <w:pPr/>
      <w:r>
        <w:rPr>
          <w:rFonts w:hint="eastAsia" w:eastAsia="黑体"/>
        </w:rPr>
        <w:t xml:space="preserve">由此构成同相放大组态：输入信号加到同相端，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从反相端接地、</w:t>
      </w:r>
      <m:oMath>
        <m:sSub>
          <m:e>
            <m:r>
              <m:t>R</m:t>
            </m:r>
          </m:e>
          <m:sub>
            <m:r>
              <m:t>f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跨接在输出与反相端之间形成负反馈，输出与输入同相，闭环增益为</w:t>
      </w:r>
      <w:r>
        <w:rPr>
          <w:rFonts w:eastAsia="黑体"/>
        </w:rP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f</m:t>
            </m:r>
          </m:sub>
        </m:sSub>
        <m:r>
          <m:rPr>
            <m:sty m:val="p"/>
          </m:rPr>
          <m:t>/</m:t>
        </m:r>
        <m:sSub>
          <m:e>
            <m:r>
              <m:t>R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。</w:t>
      </w:r>
    </w:p>
    <w:bookmarkEnd w:id="19"/>
    <w:bookmarkStart w:id="20" w:name="工作原理"/>
    <w:p>
      <w:pPr>
        <w:pStyle w:val="Heading2"/>
      </w:pPr>
      <w:r>
        <w:rPr>
          <w:rFonts w:hint="eastAsia" w:eastAsia="黑体"/>
        </w:rPr>
        <w:t xml:space="preserve">工作原理</w:t>
      </w:r>
    </w:p>
    <w:p>
      <w:pPr>
        <w:pStyle w:val="FirstParagraph"/>
      </w:pPr>
      <w:r>
        <w:rPr>
          <w:rFonts w:hint="eastAsia" w:eastAsia="黑体"/>
        </w:rPr>
        <w:t xml:space="preserve">负反馈迫使反相输入端电位跟随同相输入端，二者间虚短，故输出为输入的同相放大。输入阻抗极高（接近运放输入阻抗），输出阻抗低，适合做电压缓冲与高阻信号源放大。</w:t>
      </w:r>
    </w:p>
    <w:bookmarkEnd w:id="20"/>
    <w:bookmarkStart w:id="21" w:name="关键计算公式"/>
    <w:p>
      <w:pPr>
        <w:pStyle w:val="Heading2"/>
      </w:pPr>
      <w:r>
        <w:rPr>
          <w:rFonts w:hint="eastAsia" w:eastAsia="黑体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闭环电压增益：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v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f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输出电压：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R</m:t>
                      </m:r>
                    </m:e>
                    <m:sub>
                      <m:r>
                        <m:t>f</m:t>
                      </m:r>
                    </m:sub>
                  </m:sSub>
                </m:num>
                <m:den>
                  <m:sSub>
                    <m:e>
                      <m:r>
                        <m:t>R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</m:d>
          <m:sSub>
            <m:e>
              <m:r>
                <m:t>V</m:t>
              </m:r>
            </m:e>
            <m:sub>
              <m:r>
                <m:t>i</m:t>
              </m:r>
              <m:r>
                <m:t>n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电压跟随器（</w:t>
      </w:r>
      <m:oMath>
        <m:sSub>
          <m:e>
            <m:r>
              <m:t>R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或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rFonts w:hint="eastAsia" w:eastAsia="黑体"/>
        </w:rPr>
        <w:t xml:space="preserve">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v</m:t>
              </m:r>
            </m:sub>
          </m:sSub>
          <m:r>
            <m:rPr>
              <m:sty m:val="p"/>
            </m:rPr>
            <m:t>=</m:t>
          </m:r>
          <m:r>
            <m:t>1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输入</w:t>
      </w:r>
      <w:r>
        <w:rPr>
          <w:rFonts w:eastAsia="黑体"/>
        </w:rPr>
        <w:t xml:space="preserve"> / </w:t>
      </w:r>
      <w:r>
        <w:rPr>
          <w:rFonts w:hint="eastAsia" w:eastAsia="黑体"/>
        </w:rPr>
        <w:t xml:space="preserve">输出阻抗（理想）：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  <m:r>
                <m:t>n</m:t>
              </m:r>
            </m:sub>
          </m:sSub>
          <m:r>
            <m:rPr>
              <m:sty m:val="p"/>
            </m:rPr>
            <m:t>≈</m:t>
          </m:r>
          <m:r>
            <m:rPr>
              <m:sty m:val="p"/>
            </m:rPr>
            <m:t>∞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Z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</m:sub>
          </m:sSub>
          <m:r>
            <m:rPr>
              <m:sty m:val="p"/>
            </m:rPr>
            <m:t>≈</m:t>
          </m:r>
          <m:r>
            <m:t>0</m:t>
          </m:r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A</m:t>
                  </m:r>
                </m:e>
                <m:sub>
                  <m:r>
                    <m:t>v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闭环电压增益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无量纲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f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反馈电阻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接地电阻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输入电压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o</m:t>
                  </m:r>
                  <m:r>
                    <m:t>u</m:t>
                  </m:r>
                  <m:r>
                    <m:t>t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输出电压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 w:eastAsia="黑体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R</m:t>
            </m:r>
          </m:e>
          <m:sub>
            <m:r>
              <m:t>f</m:t>
            </m:r>
          </m:sub>
        </m:sSub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增大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增益</w:t>
      </w:r>
      <w:r>
        <w:rPr>
          <w:rFonts w:eastAsia="黑体"/>
        </w:rPr>
        <w:t xml:space="preserve"> </w:t>
      </w:r>
      <m:oMath>
        <m:sSub>
          <m:e>
            <m:r>
              <m:t>A</m:t>
            </m:r>
          </m:e>
          <m:sub>
            <m:r>
              <m:t>v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增大。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增大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增益</w:t>
      </w:r>
      <w:r>
        <w:rPr>
          <w:rFonts w:eastAsia="黑体"/>
        </w:rPr>
        <w:t xml:space="preserve"> </w:t>
      </w:r>
      <m:oMath>
        <m:sSub>
          <m:e>
            <m:r>
              <m:t>A</m:t>
            </m:r>
          </m:e>
          <m:sub>
            <m:r>
              <m:t>v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减小（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时为跟随器，增益</w:t>
      </w:r>
      <w:r>
        <w:rPr>
          <w:rFonts w:eastAsia="黑体"/>
        </w:rPr>
        <w:t xml:space="preserve"> = </w:t>
      </w:r>
      <w:r>
        <w:rPr>
          <w:rFonts w:hint="eastAsia" w:eastAsia="黑体"/>
        </w:rPr>
        <w:t xml:space="preserve">1）。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R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eastAsia="黑体"/>
          <w:b/>
          <w:bCs/>
        </w:rPr>
        <w:t xml:space="preserve">、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去掉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构成电压跟随器，增益为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1，输入阻抗最高。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</w:rPr>
        <w:t xml:space="preserve">增益与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f</m:t>
            </m:r>
          </m:sub>
        </m:sSub>
        <m:r>
          <m:rPr>
            <m:sty m:val="p"/>
          </m:rPr>
          <m:t>/</m:t>
        </m:r>
        <m:sSub>
          <m:e>
            <m:r>
              <m:t>R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之比相关，具体取值大小会同时影响噪声与失调放大。</w:t>
      </w:r>
    </w:p>
    <w:bookmarkEnd w:id="22"/>
    <w:bookmarkStart w:id="23" w:name="典型参数示例"/>
    <w:p>
      <w:pPr>
        <w:pStyle w:val="Heading2"/>
      </w:pPr>
      <w:r>
        <w:rPr>
          <w:rFonts w:hint="eastAsia" w:eastAsia="黑体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取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t>9</m:t>
        </m:r>
        <m:r>
          <m:t> </m:t>
        </m:r>
        <m:r>
          <m:rPr>
            <m:nor/>
            <m:sty m:val="p"/>
          </m:rPr>
          <m:t>kΩ</m:t>
        </m:r>
      </m:oMath>
      <w:r>
        <w:rPr>
          <w:rFonts w:eastAsia="黑体"/>
        </w:rPr>
        <w:t xml:space="preserve">、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t> </m:t>
        </m:r>
        <m:r>
          <m:rPr>
            <m:nor/>
            <m:sty m:val="p"/>
          </m:rPr>
          <m:t>kΩ</m:t>
        </m:r>
      </m:oMath>
      <w:r>
        <w:rPr>
          <w:rFonts w:hint="eastAsia" w:eastAsia="黑体"/>
        </w:rPr>
        <w:t xml:space="preserve">：</w:t>
      </w:r>
      <m:oMath>
        <m:sSub>
          <m:e>
            <m:r>
              <m:t>A</m:t>
            </m:r>
          </m:e>
          <m:sub>
            <m:r>
              <m:t>v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/</m:t>
        </m:r>
        <m:r>
          <m:t>1</m:t>
        </m:r>
        <m:r>
          <m:rPr>
            <m:sty m:val="p"/>
          </m:rPr>
          <m:t>=</m:t>
        </m:r>
        <m:r>
          <m:t>10</m:t>
        </m:r>
      </m:oMath>
      <w:r>
        <w:rPr>
          <w:rFonts w:hint="eastAsia" w:eastAsia="黑体"/>
        </w:rPr>
        <w:t xml:space="preserve">；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  <m:r>
          <m:rPr>
            <m:sty m:val="p"/>
          </m:rPr>
          <m:t>=</m:t>
        </m:r>
        <m:r>
          <m:t>0.1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时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=</m:t>
        </m:r>
        <m:r>
          <m:t>1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eastAsia="黑体"/>
        </w:rP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取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t>100</m:t>
        </m:r>
        <m:r>
          <m:t> </m:t>
        </m:r>
        <m:r>
          <m:rPr>
            <m:nor/>
            <m:sty m:val="p"/>
          </m:rPr>
          <m:t>kΩ</m:t>
        </m:r>
      </m:oMath>
      <w:r>
        <w:rPr>
          <w:rFonts w:eastAsia="黑体"/>
        </w:rPr>
        <w:t xml:space="preserve">、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50</m:t>
        </m:r>
        <m:r>
          <m:t> </m:t>
        </m:r>
        <m:r>
          <m:rPr>
            <m:nor/>
            <m:sty m:val="p"/>
          </m:rPr>
          <m:t>kΩ</m:t>
        </m:r>
      </m:oMath>
      <w:r>
        <w:rPr>
          <w:rFonts w:hint="eastAsia" w:eastAsia="黑体"/>
        </w:rPr>
        <w:t xml:space="preserve">：</w:t>
      </w:r>
      <m:oMath>
        <m:sSub>
          <m:e>
            <m:r>
              <m:t>A</m:t>
            </m:r>
          </m:e>
          <m:sub>
            <m:r>
              <m:t>v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rPr>
          <w:rFonts w:eastAsia="黑体"/>
        </w:rP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 w:eastAsia="黑体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运放：LM358、TL072、OPA2277、OP07、NE5532。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电阻：1%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金属膜电阻。</w:t>
      </w:r>
    </w:p>
    <w:bookmarkEnd w:id="24"/>
    <w:bookmarkStart w:id="25" w:name="注意事项"/>
    <w:p>
      <w:pPr>
        <w:pStyle w:val="Heading2"/>
      </w:pPr>
      <w:r>
        <w:rPr>
          <w:rFonts w:hint="eastAsia" w:eastAsia="黑体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同相端存在共模输入电压，需注意运放共模输入范围（须包含输入电压）。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增益最低为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1，不能实现衰减或增益小于</w:t>
      </w:r>
      <w:r>
        <w:rPr>
          <w:rFonts w:eastAsia="黑体"/>
        </w:rPr>
        <w:t xml:space="preserve"> 1。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高增益时带宽受运放增益带宽积限制：</w:t>
      </w:r>
      <m:oMath>
        <m:r>
          <m:t>B</m:t>
        </m:r>
        <m:r>
          <m:t>W</m:t>
        </m:r>
        <m:r>
          <m:rPr>
            <m:sty m:val="p"/>
          </m:rPr>
          <m:t>≈</m:t>
        </m:r>
        <m:r>
          <m:t>G</m:t>
        </m:r>
        <m:r>
          <m:t>B</m:t>
        </m:r>
        <m:r>
          <m:t>W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v</m:t>
            </m:r>
          </m:sub>
        </m:sSub>
      </m:oMath>
      <w:r>
        <w:rPr>
          <w:rFonts w:eastAsia="黑体"/>
        </w:rPr>
        <w:t xml:space="preserve">。</w:t>
      </w:r>
    </w:p>
    <w:bookmarkEnd w:id="25"/>
    <w:bookmarkStart w:id="26" w:name="参考资料"/>
    <w:p>
      <w:pPr>
        <w:pStyle w:val="Heading2"/>
      </w:pPr>
      <w:r>
        <w:rPr>
          <w:rFonts w:hint="eastAsia" w:eastAsia="黑体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黑体"/>
        </w:rPr>
        <w:t xml:space="preserve">《模拟电子技术基础》（童诗白、华成英）。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Wikipedia: Operational amplifier applications。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TI </w:t>
      </w:r>
      <w:r>
        <w:rPr>
          <w:rFonts w:hint="eastAsia" w:eastAsia="黑体"/>
        </w:rPr>
        <w:t xml:space="preserve">应用笔记</w:t>
      </w:r>
      <w:r>
        <w:rPr>
          <w:rFonts w:eastAsia="黑体"/>
        </w:rPr>
        <w:t xml:space="preserve"> SBOA270。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 w:eastAsia="黑体"/>
          <w:color w:val="555555"/>
          <w:sz w:val="21"/>
        </w:rPr>
        <w:t>材料收集者：杜文杰，微信/手机：19519196569，QQ:3478827729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黑体"/>
        <w:sz w:val="18"/>
      </w:rPr>
      <w:t xml:space="preserve">第 </w:t>
    </w:r>
    <w:r>
      <w:rPr>
        <w:rFonts w:eastAsia="黑体"/>
        <w:sz w:val="18"/>
      </w:rPr>
      <w:fldChar w:fldCharType="begin"/>
      <w:instrText xml:space="preserve">PAGE</w:instrText>
      <w:fldChar w:fldCharType="end"/>
    </w:r>
    <w:r>
      <w:rPr>
        <w:rFonts w:eastAsia="黑体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rPr>
          <w:rFonts w:eastAsia="黑体"/>
        </w:rPr>
        <w:continuationSeparator/>
      </w:r>
    </w:p>
  </w:footnote>
  <w:footnote w:type="separator" w:id="-1">
    <w:p>
      <w:r>
        <w:rPr>
          <w:rFonts w:eastAsia="黑体"/>
        </w:rPr>
        <w: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黑体"/>
        <w:sz w:val="18"/>
        <w:rFonts w:eastAsia="黑体"/>
        <w:rFonts w:eastAsia="黑体"/>
      </w:rPr>
      <w:t>同相放大电路</w:t>
    </w:r>
  </w:p>
</w:hdr>
</file>

<file path=word/numbering.xml><?xml version="1.0" encoding="utf-8"?>
<w:numbering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 w:eastAsia="黑体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 w:eastAsia="黑体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 w:eastAsia="黑体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 w:eastAsia="黑体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 w:eastAsia="黑体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 w:eastAsia="黑体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 w:eastAsia="黑体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 w:eastAsia="黑体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 w:eastAsia="黑体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 w:eastAsia="黑体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 w:eastAsia="黑体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 w:eastAsia="黑体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 w:eastAsia="黑体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r="http://schemas.openxmlformats.org/officeDocument/2006/relationships" xmlns:w14="http://schemas.microsoft.com/office/word/2010/wordml" mc:Ignorable="w14">
  <w:docDefaults>
    <w:rPrDefault>
      <w:rPr>
        <w:rFonts w:asciiTheme="minorHAnsi" w:cstheme="minorBidi" w:hAnsiTheme="minorHAnsi" w:eastAsia="黑体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hAnsiTheme="majorHAnsi" w:eastAsia="黑体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hAnsiTheme="majorHAnsi" w:eastAsia="黑体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hAnsiTheme="majorHAnsi" w:eastAsia="黑体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hAnsiTheme="majorHAnsi" w:eastAsia="黑体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hAnsiTheme="majorHAnsi" w:eastAsia="黑体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hAnsiTheme="majorHAnsi" w:eastAsia="黑体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hAnsiTheme="majorHAnsi" w:eastAsia="黑体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黑体"/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eastAsia="黑体"/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 w:eastAsia="黑体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 w:eastAsia="黑体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eastAsia="黑体"/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hAnsiTheme="majorHAnsi" w:eastAsia="黑体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hAnsiTheme="majorHAnsi" w:eastAsia="黑体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hAnsiTheme="majorHAnsi" w:eastAsia="黑体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hAnsiTheme="majorHAnsi" w:eastAsia="黑体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黑体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rFonts w:eastAsia="黑体"/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rFonts w:eastAsia="黑体"/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eastAsia="黑体"/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eastAsia="黑体"/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eastAsia="黑体"/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eastAsia="黑体"/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eastAsia="黑体"/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eastAsia="黑体"/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eastAsia="黑体"/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rFonts w:eastAsia="黑体"/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rFonts w:eastAsia="黑体"/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rFonts w:eastAsia="黑体"/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rFonts w:eastAsia="黑体"/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rFonts w:eastAsia="黑体"/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rFonts w:eastAsia="黑体"/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rFonts w:eastAsia="黑体"/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rFonts w:eastAsia="黑体"/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rFonts w:eastAsia="黑体"/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rFonts w:eastAsia="黑体"/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rFonts w:eastAsia="黑体"/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rFonts w:eastAsia="黑体"/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rFonts w:eastAsia="黑体"/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rFonts w:eastAsia="黑体"/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rFonts w:eastAsia="黑体"/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rFonts w:eastAsia="黑体"/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rFonts w:eastAsia="黑体"/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rFonts w:eastAsia="黑体"/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eastAsia="黑体"/>
      <w:b/>
      <w:color w:val="007020"/>
    </w:rPr>
  </w:style>
  <w:style w:type="character" w:customStyle="1" w:styleId="DataTypeTok">
    <w:name w:val="DataTypeTok"/>
    <w:basedOn w:val="VerbatimChar"/>
    <w:rPr>
      <w:rFonts w:eastAsia="黑体"/>
      <w:color w:val="902000"/>
    </w:rPr>
  </w:style>
  <w:style w:type="character" w:customStyle="1" w:styleId="DecValTok">
    <w:name w:val="DecValTok"/>
    <w:basedOn w:val="VerbatimChar"/>
    <w:rPr>
      <w:rFonts w:eastAsia="黑体"/>
      <w:color w:val="40a070"/>
    </w:rPr>
  </w:style>
  <w:style w:type="character" w:customStyle="1" w:styleId="BaseNTok">
    <w:name w:val="BaseNTok"/>
    <w:basedOn w:val="VerbatimChar"/>
    <w:rPr>
      <w:rFonts w:eastAsia="黑体"/>
      <w:color w:val="40a070"/>
    </w:rPr>
  </w:style>
  <w:style w:type="character" w:customStyle="1" w:styleId="FloatTok">
    <w:name w:val="FloatTok"/>
    <w:basedOn w:val="VerbatimChar"/>
    <w:rPr>
      <w:rFonts w:eastAsia="黑体"/>
      <w:color w:val="40a070"/>
    </w:rPr>
  </w:style>
  <w:style w:type="character" w:customStyle="1" w:styleId="ConstantTok">
    <w:name w:val="ConstantTok"/>
    <w:basedOn w:val="VerbatimChar"/>
    <w:rPr>
      <w:rFonts w:eastAsia="黑体"/>
      <w:color w:val="880000"/>
    </w:rPr>
  </w:style>
  <w:style w:type="character" w:customStyle="1" w:styleId="CharTok">
    <w:name w:val="CharTok"/>
    <w:basedOn w:val="VerbatimChar"/>
    <w:rPr>
      <w:rFonts w:eastAsia="黑体"/>
      <w:color w:val="4070a0"/>
    </w:rPr>
  </w:style>
  <w:style w:type="character" w:customStyle="1" w:styleId="SpecialCharTok">
    <w:name w:val="SpecialCharTok"/>
    <w:basedOn w:val="VerbatimChar"/>
    <w:rPr>
      <w:rFonts w:eastAsia="黑体"/>
      <w:color w:val="4070a0"/>
    </w:rPr>
  </w:style>
  <w:style w:type="character" w:customStyle="1" w:styleId="StringTok">
    <w:name w:val="StringTok"/>
    <w:basedOn w:val="VerbatimChar"/>
    <w:rPr>
      <w:rFonts w:eastAsia="黑体"/>
      <w:color w:val="4070a0"/>
    </w:rPr>
  </w:style>
  <w:style w:type="character" w:customStyle="1" w:styleId="VerbatimStringTok">
    <w:name w:val="VerbatimStringTok"/>
    <w:basedOn w:val="VerbatimChar"/>
    <w:rPr>
      <w:rFonts w:eastAsia="黑体"/>
      <w:color w:val="4070a0"/>
    </w:rPr>
  </w:style>
  <w:style w:type="character" w:customStyle="1" w:styleId="SpecialStringTok">
    <w:name w:val="SpecialStringTok"/>
    <w:basedOn w:val="VerbatimChar"/>
    <w:rPr>
      <w:rFonts w:eastAsia="黑体"/>
      <w:color w:val="bb6688"/>
    </w:rPr>
  </w:style>
  <w:style w:type="character" w:customStyle="1" w:styleId="ImportTok">
    <w:name w:val="ImportTok"/>
    <w:basedOn w:val="VerbatimChar"/>
    <w:rPr>
      <w:rFonts w:eastAsia="黑体"/>
      <w:b/>
      <w:color w:val="008000"/>
    </w:rPr>
  </w:style>
  <w:style w:type="character" w:customStyle="1" w:styleId="CommentTok">
    <w:name w:val="CommentTok"/>
    <w:basedOn w:val="VerbatimChar"/>
    <w:rPr>
      <w:rFonts w:eastAsia="黑体"/>
      <w:i/>
      <w:color w:val="60a0b0"/>
    </w:rPr>
  </w:style>
  <w:style w:type="character" w:customStyle="1" w:styleId="DocumentationTok">
    <w:name w:val="DocumentationTok"/>
    <w:basedOn w:val="VerbatimChar"/>
    <w:rPr>
      <w:rFonts w:eastAsia="黑体"/>
      <w:i/>
      <w:color w:val="ba2121"/>
    </w:rPr>
  </w:style>
  <w:style w:type="character" w:customStyle="1" w:styleId="AnnotationTok">
    <w:name w:val="AnnotationTok"/>
    <w:basedOn w:val="VerbatimChar"/>
    <w:rPr>
      <w:rFonts w:eastAsia="黑体"/>
      <w:b/>
      <w:i/>
      <w:color w:val="60a0b0"/>
    </w:rPr>
  </w:style>
  <w:style w:type="character" w:customStyle="1" w:styleId="CommentVarTok">
    <w:name w:val="CommentVarTok"/>
    <w:basedOn w:val="VerbatimChar"/>
    <w:rPr>
      <w:rFonts w:eastAsia="黑体"/>
      <w:b/>
      <w:i/>
      <w:color w:val="60a0b0"/>
    </w:rPr>
  </w:style>
  <w:style w:type="character" w:customStyle="1" w:styleId="OtherTok">
    <w:name w:val="OtherTok"/>
    <w:basedOn w:val="VerbatimChar"/>
    <w:rPr>
      <w:rFonts w:eastAsia="黑体"/>
      <w:color w:val="007020"/>
    </w:rPr>
  </w:style>
  <w:style w:type="character" w:customStyle="1" w:styleId="FunctionTok">
    <w:name w:val="FunctionTok"/>
    <w:basedOn w:val="VerbatimChar"/>
    <w:rPr>
      <w:rFonts w:eastAsia="黑体"/>
      <w:color w:val="06287e"/>
    </w:rPr>
  </w:style>
  <w:style w:type="character" w:customStyle="1" w:styleId="VariableTok">
    <w:name w:val="VariableTok"/>
    <w:basedOn w:val="VerbatimChar"/>
    <w:rPr>
      <w:rFonts w:eastAsia="黑体"/>
      <w:color w:val="19177c"/>
    </w:rPr>
  </w:style>
  <w:style w:type="character" w:customStyle="1" w:styleId="ControlFlowTok">
    <w:name w:val="ControlFlowTok"/>
    <w:basedOn w:val="VerbatimChar"/>
    <w:rPr>
      <w:rFonts w:eastAsia="黑体"/>
      <w:b/>
      <w:color w:val="007020"/>
    </w:rPr>
  </w:style>
  <w:style w:type="character" w:customStyle="1" w:styleId="OperatorTok">
    <w:name w:val="OperatorTok"/>
    <w:basedOn w:val="VerbatimChar"/>
    <w:rPr>
      <w:rFonts w:eastAsia="黑体"/>
      <w:color w:val="666666"/>
    </w:rPr>
  </w:style>
  <w:style w:type="character" w:customStyle="1" w:styleId="BuiltInTok">
    <w:name w:val="BuiltInTok"/>
    <w:basedOn w:val="VerbatimChar"/>
    <w:rPr>
      <w:rFonts w:eastAsia="黑体"/>
      <w:color w:val="008000"/>
    </w:rPr>
  </w:style>
  <w:style w:type="character" w:customStyle="1" w:styleId="ExtensionTok">
    <w:name w:val="ExtensionTok"/>
    <w:basedOn w:val="VerbatimChar"/>
    <w:rPr>
      <w:rFonts w:eastAsia="黑体"/>
    </w:rPr>
  </w:style>
  <w:style w:type="character" w:customStyle="1" w:styleId="PreprocessorTok">
    <w:name w:val="PreprocessorTok"/>
    <w:basedOn w:val="VerbatimChar"/>
    <w:rPr>
      <w:rFonts w:eastAsia="黑体"/>
      <w:color w:val="bc7a00"/>
    </w:rPr>
  </w:style>
  <w:style w:type="character" w:customStyle="1" w:styleId="AttributeTok">
    <w:name w:val="AttributeTok"/>
    <w:basedOn w:val="VerbatimChar"/>
    <w:rPr>
      <w:rFonts w:eastAsia="黑体"/>
      <w:color w:val="7d9029"/>
    </w:rPr>
  </w:style>
  <w:style w:type="character" w:customStyle="1" w:styleId="RegionMarkerTok">
    <w:name w:val="RegionMarkerTok"/>
    <w:basedOn w:val="VerbatimChar"/>
    <w:rPr>
      <w:rFonts w:eastAsia="黑体"/>
    </w:rPr>
  </w:style>
  <w:style w:type="character" w:customStyle="1" w:styleId="InformationTok">
    <w:name w:val="InformationTok"/>
    <w:basedOn w:val="VerbatimChar"/>
    <w:rPr>
      <w:rFonts w:eastAsia="黑体"/>
      <w:b/>
      <w:i/>
      <w:color w:val="60a0b0"/>
    </w:rPr>
  </w:style>
  <w:style w:type="character" w:customStyle="1" w:styleId="WarningTok">
    <w:name w:val="WarningTok"/>
    <w:basedOn w:val="VerbatimChar"/>
    <w:rPr>
      <w:rFonts w:eastAsia="黑体"/>
      <w:b/>
      <w:i/>
      <w:color w:val="60a0b0"/>
    </w:rPr>
  </w:style>
  <w:style w:type="character" w:customStyle="1" w:styleId="AlertTok">
    <w:name w:val="AlertTok"/>
    <w:basedOn w:val="VerbatimChar"/>
    <w:rPr>
      <w:rFonts w:eastAsia="黑体"/>
      <w:b/>
      <w:color w:val="ff0000"/>
    </w:rPr>
  </w:style>
  <w:style w:type="character" w:customStyle="1" w:styleId="ErrorTok">
    <w:name w:val="ErrorTok"/>
    <w:basedOn w:val="VerbatimChar"/>
    <w:rPr>
      <w:rFonts w:eastAsia="黑体"/>
      <w:b/>
      <w:color w:val="ff0000"/>
    </w:rPr>
  </w:style>
  <w:style w:type="character" w:customStyle="1" w:styleId="NormalTok">
    <w:name w:val="NormalTok"/>
    <w:basedOn w:val="VerbatimChar"/>
    <w:rPr>
      <w:rFonts w:eastAsia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黑体"/>
        <a:font script="Hant" typeface="黑体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黑体"/>
        <a:cs typeface=""/>
        <a:font script="Jpan" typeface="ＭＳ 明朝"/>
        <a:font script="Hang" typeface="맑은 고딕"/>
        <a:font script="Hans" typeface="黑体"/>
        <a:font script="Hant" typeface="黑体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同相放大电路</dc:title>
  <dc:creator>AI 智能体</dc:creator>
  <cp:keywords/>
  <dcterms:created xsi:type="dcterms:W3CDTF">2026-09-08T14:37:09Z</dcterms:created>
  <dcterms:modified xsi:type="dcterms:W3CDTF">2026-09-08T14:37:09Z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