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btl-桥式功率放大电路"/>
    <w:p>
      <w:pPr>
        <w:pStyle w:val="Heading1"/>
      </w:pPr>
      <w:r>
        <w:rPr>
          <w:rFonts w:eastAsia="黑体"/>
        </w:rPr>
        <w:t xml:space="preserve">BTL </w:t>
      </w:r>
      <w:r>
        <w:rPr>
          <w:rFonts w:hint="eastAsia" w:eastAsia="黑体"/>
        </w:rPr>
        <w:t xml:space="preserve">桥式功率放大电路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两个完全相同的反相放大支路</w:t>
      </w:r>
      <w:r>
        <w:rPr>
          <w:rFonts w:hint="eastAsia" w:eastAsia="黑体"/>
        </w:rPr>
        <w:t xml:space="preserve">（支路1：运放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、输入电阻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1</m:t>
            </m:r>
          </m:sub>
        </m:sSub>
      </m:oMath>
      <w:r>
        <w:rPr>
          <w:rFonts w:hint="eastAsia" w:eastAsia="黑体"/>
        </w:rPr>
        <w:t xml:space="preserve">、反馈电阻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  <m:r>
              <m:t>1</m:t>
            </m:r>
          </m:sub>
        </m:sSub>
      </m:oMath>
      <w:r>
        <w:rPr>
          <w:rFonts w:hint="eastAsia" w:eastAsia="黑体"/>
        </w:rPr>
        <w:t xml:space="preserve">、平衡电阻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1</m:t>
            </m:r>
          </m:sub>
        </m:sSub>
      </m:oMath>
      <w:r>
        <w:rPr>
          <w:rFonts w:hint="eastAsia" w:eastAsia="黑体"/>
        </w:rPr>
        <w:t xml:space="preserve">；支路2：运放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i</m:t>
            </m:r>
            <m:r>
              <m:t>2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f</m:t>
            </m:r>
            <m:r>
              <m:t>2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b</m:t>
            </m:r>
            <m:r>
              <m:t>2</m:t>
            </m:r>
          </m:sub>
        </m:sSub>
      </m:oMath>
      <w:r>
        <w:rPr>
          <w:rFonts w:hint="eastAsia" w:eastAsia="黑体"/>
        </w:rPr>
        <w:t xml:space="preserve">）与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负载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组成桥式结构。电路共有</w:t>
      </w:r>
      <w:r>
        <w:rPr>
          <w:rFonts w:eastAsia="黑体"/>
        </w:rPr>
        <w:t xml:space="preserve"> 8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的正端接支路1的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上端，并另经反相器得</w:t>
      </w:r>
      <w:r>
        <w:rPr>
          <w:rFonts w:eastAsia="黑体"/>
        </w:rP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接支路2的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上端；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负端接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支路1反相输入端（虚地）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i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下端、</w:t>
      </w:r>
      <m:oMath>
        <m:sSub>
          <m:e>
            <m:r>
              <m:t>R</m:t>
            </m:r>
          </m:e>
          <m:sub>
            <m:r>
              <m:t>f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一端与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支路1同相输入端</w:t>
      </w:r>
      <w:r>
        <w:rPr>
          <w:rFonts w:hint="eastAsia" w:eastAsia="黑体"/>
        </w:rPr>
        <w:t xml:space="preserve">（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支路1输出节点</w:t>
      </w:r>
      <w:r>
        <w:rPr>
          <w:rFonts w:hint="eastAsia" w:eastAsia="黑体"/>
        </w:rPr>
        <w:t xml:space="preserve">（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另一端相连，接负载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支路2反相输入端（虚地）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i</m:t>
            </m:r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下端、</w:t>
      </w:r>
      <m:oMath>
        <m:sSub>
          <m:e>
            <m:r>
              <m:t>R</m:t>
            </m:r>
          </m:e>
          <m:sub>
            <m:r>
              <m:t>f</m:t>
            </m:r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一端与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支路2同相输入端</w:t>
      </w:r>
      <w:r>
        <w:rPr>
          <w:rFonts w:hint="eastAsia" w:eastAsia="黑体"/>
        </w:rPr>
        <w:t xml:space="preserve">（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上端相连）；</w:t>
      </w:r>
      <w:r>
        <w:rPr>
          <w:rFonts w:hint="eastAsia" w:eastAsia="黑体"/>
          <w:b/>
          <w:bCs/>
        </w:rPr>
        <w:t xml:space="preserve">节点⑦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支路2输出节点</w:t>
      </w:r>
      <w:r>
        <w:rPr>
          <w:rFonts w:hint="eastAsia" w:eastAsia="黑体"/>
        </w:rPr>
        <w:t xml:space="preserve">（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另一端相连，接负载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另一端）；</w:t>
      </w:r>
      <w:r>
        <w:rPr>
          <w:rFonts w:hint="eastAsia" w:eastAsia="黑体"/>
          <w:b/>
          <w:bCs/>
        </w:rPr>
        <w:t xml:space="preserve">节点⑧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b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下端、</w:t>
      </w:r>
      <m:oMath>
        <m:sSub>
          <m:e>
            <m:r>
              <m:t>R</m:t>
            </m:r>
          </m:e>
          <m:sub>
            <m:r>
              <m:t>b</m:t>
            </m:r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下端与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负端接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GND，负载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两端均悬浮不接地）。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接支路1反相输入节点、IN+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接支路1同相输入节点、OUT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接支路1输出节点、V+/V−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接对应电源正/负端；</w:t>
      </w:r>
      <m:oMath>
        <m:sSub>
          <m:e>
            <m:r>
              <m:t>R</m:t>
            </m:r>
          </m:e>
          <m:sub>
            <m:r>
              <m:t>i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一端接输入节点、另一端接支路1反相输入节点；</w:t>
      </w:r>
      <m:oMath>
        <m:sSub>
          <m:e>
            <m:r>
              <m:t>R</m:t>
            </m:r>
          </m:e>
          <m:sub>
            <m:r>
              <m:t>f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一端接支路1反相输入节点、另一端接支路1输出节点；</w:t>
      </w:r>
      <m:oMath>
        <m:sSub>
          <m:e>
            <m:r>
              <m:t>R</m:t>
            </m:r>
          </m:e>
          <m:sub>
            <m:r>
              <m:t>b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一端接支路1同相输入节点、另一端接地节点；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接支路2反相输入节点、IN+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接支路2同相输入节点、OUT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接支路2输出节点、V+/V−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接对应电源正/负端；</w:t>
      </w:r>
      <m:oMath>
        <m:sSub>
          <m:e>
            <m:r>
              <m:t>R</m:t>
            </m:r>
          </m:e>
          <m:sub>
            <m:r>
              <m:t>i</m:t>
            </m:r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一端接输入节点（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）、另一端接支路2反相输入节点；</w:t>
      </w:r>
      <m:oMath>
        <m:sSub>
          <m:e>
            <m:r>
              <m:t>R</m:t>
            </m:r>
          </m:e>
          <m:sub>
            <m:r>
              <m:t>f</m:t>
            </m:r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一端接支路2反相输入节点、另一端接支路2输出节点；</w:t>
      </w:r>
      <m:oMath>
        <m:sSub>
          <m:e>
            <m:r>
              <m:t>R</m:t>
            </m:r>
          </m:e>
          <m:sub>
            <m:r>
              <m:t>b</m:t>
            </m:r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一端接支路2同相输入节点、另一端接地节点；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一端接支路1输出节点、另一端接支路2输出节点（两端均不接地）。</w:t>
      </w:r>
    </w:p>
    <w:p>
      <w:pPr/>
      <w:r>
        <w:rPr>
          <w:rFonts w:hint="eastAsia" w:eastAsia="黑体"/>
        </w:rPr>
        <w:t xml:space="preserve">由此构成”两路反相放大臂输出互为反相的等幅信号、负载跨接在两输出端之间（悬浮）“的</w:t>
      </w:r>
      <w:r>
        <w:rPr>
          <w:rFonts w:eastAsia="黑体"/>
        </w:rPr>
        <w:t xml:space="preserve"> BTL </w:t>
      </w:r>
      <w:r>
        <w:rPr>
          <w:rFonts w:hint="eastAsia" w:eastAsia="黑体"/>
        </w:rPr>
        <w:t xml:space="preserve">桥式功放组态，负载两端的电压差为单路输出摆幅的两倍，等效输出功率约为单端半桥功放的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倍，常用于单电源（如车载、便携）供电场合。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两个半桥输出互为反相的等幅信号，负载两端的电压差为单路输出摆幅的两倍；由于负载不接地，任一瞬时一路输出推、另一路吸，能量以差分方式流过负载，等效输出功率成倍提高。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负载端差动电压峰值（单端各为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m</m:t>
            </m:r>
          </m:sub>
        </m:sSub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m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输出功率（正弦满幅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BTL）：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m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Sup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m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理论最高输出功率（摆到电源轨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Sup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相对于单端（半桥）功放的功率提升：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  <m:r>
                <m:t>T</m:t>
              </m:r>
              <m:r>
                <m:t>L</m:t>
              </m:r>
            </m:sub>
          </m:sSub>
          <m:r>
            <m:rPr>
              <m:sty m:val="p"/>
            </m:rPr>
            <m:t>≈</m:t>
          </m:r>
          <m:r>
            <m:t>4</m:t>
          </m:r>
          <m:r>
            <m:rPr>
              <m:sty m:val="p"/>
            </m:rPr>
            <m:t>×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半桥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m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单臂输出峰值电压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电源电压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负载电阻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输出功率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W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两臂增益不匹配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两输出幅度不一，负载上将叠加直流分量，需良好配对。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输出功率成平方增大。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↓（如接</w:t>
      </w:r>
      <w:r>
        <w:rPr>
          <w:rFonts w:eastAsia="黑体"/>
          <w:b/>
          <w:bCs/>
        </w:rPr>
        <w:t xml:space="preserve"> 4 </w:t>
      </w:r>
      <w:r>
        <w:rPr>
          <w:rFonts w:hint="eastAsia" w:eastAsia="黑体"/>
          <w:b/>
          <w:bCs/>
        </w:rPr>
        <w:t xml:space="preserve">Ω）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输出功率增大，但对驱动级电流与散热要求更高。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单电源下需输出隔直电容或中点偏置，否则直流流过负载。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桥臂电阻/增益电阻精度影响共模抑制与失真。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取单臂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m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8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25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hint="eastAsia" w:eastAsia="黑体"/>
        </w:rPr>
        <w:t xml:space="preserve">；而单端同样</w:t>
      </w:r>
      <w:r>
        <w:rPr>
          <w:rFonts w:eastAsia="黑体"/>
        </w:rPr>
        <w:t xml:space="preserve"> 10 V </w:t>
      </w:r>
      <w:r>
        <w:rPr>
          <w:rFonts w:hint="eastAsia" w:eastAsia="黑体"/>
        </w:rPr>
        <w:t xml:space="preserve">峰值仅</w:t>
      </w:r>
      <w:r>
        <w:rPr>
          <w:rFonts w:eastAsia="黑体"/>
        </w:rP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8</m:t>
            </m:r>
          </m:den>
        </m:f>
        <m:r>
          <m:rPr>
            <m:sty m:val="p"/>
          </m:rPr>
          <m:t>=</m:t>
        </m:r>
        <m:r>
          <m:t>6.25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hint="eastAsia" w:eastAsia="黑体"/>
        </w:rPr>
        <w:t xml:space="preserve">，BTL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为其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倍。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（车载）、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4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：理论</w:t>
      </w:r>
      <w:r>
        <w:rPr>
          <w:rFonts w:eastAsia="黑体"/>
        </w:rP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sSup>
              <m:e>
                <m:r>
                  <m:t>12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72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BTL </w:t>
      </w:r>
      <w:r>
        <w:rPr>
          <w:rFonts w:hint="eastAsia" w:eastAsia="黑体"/>
        </w:rPr>
        <w:t xml:space="preserve">音频功放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IC：TDA2003、TDA7297、TDA7498、LM1875（可接成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BTL）、TPA3116D2。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汽车功放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IC：TDA7388、TDA7850（内部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BTL）。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通用运放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功放对管：NE5532、TIP41/TIP42。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两臂相位必须严格反相、增益一致，否则失真增大并可能出现直流偏流。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负载两端均悬浮，禁止任一输出端直接接地或对地短路。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单电源工作时需处理好输入/输出直流偏置。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大功率需足够散热与去耦电容贴近供电引脚。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Bridged and paralleled </w:t>
      </w:r>
      <w:r>
        <w:rPr>
          <w:rFonts w:hint="eastAsia" w:eastAsia="黑体"/>
        </w:rPr>
        <w:t xml:space="preserve">amplifiers（BTL）。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TI/ST </w:t>
      </w:r>
      <w:r>
        <w:rPr>
          <w:rFonts w:hint="eastAsia" w:eastAsia="黑体"/>
        </w:rPr>
        <w:t xml:space="preserve">产品页：TDA7297、TPA3116D2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BTL桥式功率放大电路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BTL桥式功率放大电路</dc:title>
  <dc:creator>AI 智能体</dc:creator>
  <cp:keywords/>
  <dcterms:created xsi:type="dcterms:W3CDTF">2026-09-08T14:37:10Z</dcterms:created>
  <dcterms:modified xsi:type="dcterms:W3CDTF">2026-09-08T14:37:10Z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