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功率放大电路"/>
    <w:p>
      <w:pPr>
        <w:pStyle w:val="Heading1"/>
      </w:pPr>
      <w:r>
        <w:rPr>
          <w:rFonts w:hint="eastAsia" w:eastAsia="黑体"/>
        </w:rPr>
        <w:t xml:space="preserve">音频功率放大电路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输入差分放大级</w:t>
      </w:r>
      <w:r>
        <w:rPr>
          <w:rFonts w:hint="eastAsia" w:eastAsia="黑体"/>
        </w:rPr>
        <w:t xml:space="preserve">（差分对管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，或输入运放）、</w:t>
      </w:r>
      <w:r>
        <w:rPr>
          <w:rFonts w:hint="eastAsia" w:eastAsia="黑体"/>
          <w:b/>
          <w:bCs/>
        </w:rPr>
        <w:t xml:space="preserve">电压放大级</w:t>
      </w:r>
      <w:r>
        <w:rPr>
          <w:rFonts w:hint="eastAsia" w:eastAsia="黑体"/>
        </w:rPr>
        <w:t xml:space="preserve">（激励级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推挽功率输出级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（扬声器）组成，输出级构成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类或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类放大，也可用集成功放芯片（如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LM3886、TDA7293）。电路共有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接差分输入级的同相/反相输入端）；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差分输入级输出/电压放大级输入节点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输出级输入驱动节点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的上端相连，经输出耦合电容或直接接扬声器）；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（+VCC，接各级集电极/漏极）；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（−VCC）；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的下端、差分级发射极接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（差分输入对）的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相连并经恒流源接地、C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分别接节点②与电源；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（电压放大/激励级）的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接节点②、C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经电阻接负电源；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接输出级输入驱动节点、C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接输出级输入驱动节点、C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由此构成”差分输入级决定线性、电压放大级提升幅度、互补对管以射极跟随推挽输出大电流”的多级音频功率放大组态，正半周由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管导通、负半周由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管导通，输出可经耦合电容（OTL）或直接连接（OCL）驱动扬声器，AB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类以微小静态偏置消除交越失真。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输入小信号经电压放大级提升幅度，再由互补输出管以射极跟随方式提供大电流。正半周由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管导通、负半周由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管导通，推挽工作，使负载上获得与输入同相的大功率信号；AB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类通过小静态偏置消除交越失真。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输出电压峰值（OCL）：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负载获得的最大平均功率（正弦）：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电源供给功率：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最高理论效率（B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输出管饱和压降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扬声器阻抗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最大输出功率增大，但需注意功耗与散热。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输出功率增大、输出电流增大，对电源与散热要求升高。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静态偏置电流增大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交越失真减小，但发热与静态功耗上升。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散热器热阻增大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允许持续功率下降，热保护易触发。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35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B </w:t>
      </w:r>
      <w:r>
        <w:rPr>
          <w:rFonts w:hint="eastAsia" w:eastAsia="黑体"/>
        </w:rPr>
        <w:t xml:space="preserve">类满载时</w:t>
      </w:r>
      <w:r>
        <w:rPr>
          <w:rFonts w:eastAsia="黑体"/>
        </w:rP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×</m:t>
            </m:r>
            <m:r>
              <m:t>32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35</m:t>
            </m:r>
          </m:den>
        </m:f>
        <m:r>
          <m:rPr>
            <m:sty m:val="p"/>
          </m:rPr>
          <m:t>≈</m:t>
        </m:r>
        <m:r>
          <m:t>0.72</m:t>
        </m:r>
      </m:oMath>
      <w:r>
        <w:rPr>
          <w:rFonts w:hint="eastAsia" w:eastAsia="黑体"/>
        </w:rPr>
        <w:t xml:space="preserve">（72%）。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集成功放：LM3886、TDA7293、TDA2050、LM1875。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功率对管：2SC5200</w:t>
      </w:r>
      <w:r>
        <w:rPr>
          <w:rFonts w:eastAsia="黑体"/>
        </w:rPr>
        <w:t xml:space="preserve"> / 2SA1943、TIP41 / TIP42、2N3055 / MJ2955。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大功率输出需足够散热器与热保护，结温不得超规格。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OCL </w:t>
      </w:r>
      <w:r>
        <w:rPr>
          <w:rFonts w:hint="eastAsia" w:eastAsia="黑体"/>
        </w:rPr>
        <w:t xml:space="preserve">直耦时输出电压直流偏移必须接近零，否则扬声器产生直流偏置发热。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输出需加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稳定性网络（Zobel）与限流保护，防止感性负载引起高频振荡。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LM3886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Class-B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音频功率放大电路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