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双-t-振荡器"/>
    <w:p>
      <w:pPr>
        <w:pStyle w:val="Heading1"/>
      </w:pPr>
      <w:r>
        <w:rPr>
          <w:rFonts w:hint="eastAsia" w:eastAsia="黑体"/>
        </w:rPr>
        <w:t xml:space="preserve">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振荡器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</w:t>
      </w:r>
      <w:r>
        <w:rPr>
          <w:rFonts w:hint="eastAsia" w:eastAsia="黑体"/>
          <w:b/>
          <w:bCs/>
        </w:rPr>
        <w:t xml:space="preserve">一个高增益运算放大器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双</w:t>
      </w:r>
      <w:r>
        <w:rPr>
          <w:rFonts w:eastAsia="黑体"/>
          <w:b/>
          <w:bCs/>
        </w:rPr>
        <w:t xml:space="preserve"> T </w:t>
      </w:r>
      <w:r>
        <w:rPr>
          <w:rFonts w:hint="eastAsia" w:eastAsia="黑体"/>
          <w:b/>
          <w:bCs/>
        </w:rPr>
        <w:t xml:space="preserve">形</w:t>
      </w:r>
      <w:r>
        <w:rPr>
          <w:rFonts w:eastAsia="黑体"/>
          <w:b/>
          <w:bCs/>
        </w:rPr>
        <w:t xml:space="preserve"> RC </w:t>
      </w:r>
      <w:r>
        <w:rPr>
          <w:rFonts w:hint="eastAsia" w:eastAsia="黑体"/>
          <w:b/>
          <w:bCs/>
        </w:rPr>
        <w:t xml:space="preserve">陷波网络</w:t>
      </w:r>
      <w:r>
        <w:rPr>
          <w:rFonts w:hint="eastAsia" w:eastAsia="黑体"/>
        </w:rPr>
        <w:t xml:space="preserve">（两个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形网络并联：</w:t>
      </w:r>
      <m:oMath>
        <m:r>
          <m:t>R</m:t>
        </m:r>
      </m:oMath>
      <w:r>
        <w:rPr>
          <w:rFonts w:eastAsia="黑体"/>
        </w:rPr>
        <w:t xml:space="preserve">-</w:t>
      </w:r>
      <m:oMath>
        <m:r>
          <m:t>R</m:t>
        </m:r>
      </m:oMath>
      <w:r>
        <w:rPr>
          <w:rFonts w:eastAsia="黑体"/>
        </w:rPr>
        <w:t xml:space="preserve">-</w:t>
      </w:r>
      <m:oMath>
        <m:r>
          <m:t>2</m:t>
        </m:r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串臂与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-</w:t>
      </w:r>
      <m:oMath>
        <m:r>
          <m:t>C</m:t>
        </m:r>
      </m:oMath>
      <w:r>
        <w:rPr>
          <w:rFonts w:eastAsia="黑体"/>
        </w:rPr>
        <w:t xml:space="preserve">-</w:t>
      </w:r>
      <m:oMath>
        <m:r>
          <m:t>R</m:t>
        </m:r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并臂）组成，另由</w:t>
      </w:r>
      <w:r>
        <w:rPr>
          <w:rFonts w:hint="eastAsia" w:eastAsia="黑体"/>
          <w:b/>
          <w:bCs/>
        </w:rPr>
        <w:t xml:space="preserve">正反馈分压电阻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提供正反馈。电路共有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网络</w:t>
      </w:r>
      <w:r>
        <w:rPr>
          <w:rFonts w:eastAsia="黑体"/>
          <w:b/>
          <w:bCs/>
        </w:rPr>
        <w:t xml:space="preserve"> A </w:t>
      </w:r>
      <w:r>
        <w:rPr>
          <w:rFonts w:hint="eastAsia" w:eastAsia="黑体"/>
          <w:b/>
          <w:bCs/>
        </w:rPr>
        <w:t xml:space="preserve">中点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</w:t>
      </w:r>
      <m:oMath>
        <m:r>
          <m:t>2</m:t>
        </m:r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网络</w:t>
      </w:r>
      <w:r>
        <w:rPr>
          <w:rFonts w:eastAsia="黑体"/>
          <w:b/>
          <w:bCs/>
        </w:rPr>
        <w:t xml:space="preserve"> B </w:t>
      </w:r>
      <w:r>
        <w:rPr>
          <w:rFonts w:hint="eastAsia" w:eastAsia="黑体"/>
          <w:b/>
          <w:bCs/>
        </w:rPr>
        <w:t xml:space="preserve">中点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</w:t>
      </w:r>
      <m:oMath>
        <m:r>
          <m:t>R</m:t>
        </m:r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双</w:t>
      </w:r>
      <w:r>
        <w:rPr>
          <w:rFonts w:eastAsia="黑体"/>
          <w:b/>
          <w:bCs/>
        </w:rPr>
        <w:t xml:space="preserve"> T </w:t>
      </w:r>
      <w:r>
        <w:rPr>
          <w:rFonts w:hint="eastAsia" w:eastAsia="黑体"/>
          <w:b/>
          <w:bCs/>
        </w:rPr>
        <w:t xml:space="preserve">网络输出（反馈）节点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的反相输入端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同相输入节点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的同相输入端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的反相输入端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接反馈节点④、同相输入端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接同相输入节点⑤、OUT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接输出节点①、正电源脚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E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一端接输出节点①、另一端接网络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中点②；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一端接网络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中点②、另一端接反馈节点④；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一端接网络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中点②、另一端接地节点⑥；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一端接输出节点①、另一端接网络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中点③；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一端接网络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中点③、另一端接反馈节点④；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一端接网络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中点③、另一端接地节点⑥；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一端接输出节点①、另一端接同相输入节点⑤；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一端接同相输入节点⑤、另一端接地节点⑥。</w:t>
      </w:r>
    </w:p>
    <w:p>
      <w:pPr/>
      <w:r>
        <w:rPr>
          <w:rFonts w:hint="eastAsia" w:eastAsia="黑体"/>
        </w:rPr>
        <w:t xml:space="preserve">由此构成”双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网络在陷波频率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处陷波（传输趋零）使负反馈最小、由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/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分压提供的正反馈在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附近占优”的并联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T（双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T）选频振荡组态，在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t>C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处满足幅度与相位条件，输出低失真正弦波。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网络在其中心频率处呈现极大衰减且相移从</w:t>
      </w:r>
      <w:r>
        <w:rPr>
          <w:rFonts w:eastAsia="黑体"/>
        </w:rPr>
        <w:t xml:space="preserve"> +90° </w:t>
      </w:r>
      <w:r>
        <w:rPr>
          <w:rFonts w:hint="eastAsia" w:eastAsia="黑体"/>
        </w:rPr>
        <w:t xml:space="preserve">急剧变为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-90°，通过适当反馈接法利用其陡峭相频特性，使环路仅在中心频率附近满足相位与幅度条件，从而在该频率振荡，产出失真很低的准正弦波。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对称双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网络的陷波（振荡）频率：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陷波深度（理想匹配时）理想为零，失配时残余传输：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δ</m:t>
              </m:r>
            </m:num>
            <m:den>
              <m:r>
                <m:t>4</m:t>
              </m:r>
              <m:r>
                <m:rPr>
                  <m:sty m:val="p"/>
                </m:rPr>
                <m:t>+</m:t>
              </m:r>
              <m:r>
                <m:t>δ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t> </m:t>
          </m:r>
          <m:r>
            <m:rPr>
              <m:nor/>
              <m:sty m:val="p"/>
            </m:rPr>
            <m:t>为失配量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起振所需放大器增益（近似）：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δ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双</w:t>
            </w:r>
            <w:r>
              <w:rPr>
                <w:rFonts w:eastAsia="黑体"/>
              </w:rPr>
              <w:t xml:space="preserve"> T </w:t>
            </w:r>
            <w:r>
              <w:rPr>
                <w:rFonts w:hint="eastAsia" w:eastAsia="黑体"/>
              </w:rPr>
              <w:t xml:space="preserve">网络电阻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 / 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陷波（振荡）频率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残余传输量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放大器增益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元件匹配精度提高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陷波更深、选频更尖锐、正弦波失真更低。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放大器增益增大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起振裕量增大，但易失真或停振边缘不稳。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双</w:t>
      </w:r>
      <w:r>
        <w:rPr>
          <w:rFonts w:eastAsia="黑体"/>
          <w:b/>
          <w:bCs/>
        </w:rPr>
        <w:t xml:space="preserve"> T </w:t>
      </w:r>
      <w:r>
        <w:rPr>
          <w:rFonts w:hint="eastAsia" w:eastAsia="黑体"/>
          <w:b/>
          <w:bCs/>
        </w:rPr>
        <w:t xml:space="preserve">网络元件失配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陷波点漂移、选择性下降。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</m:den>
        </m:f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网络需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/</m:t>
        </m:r>
        <m:r>
          <m:t>2</m:t>
        </m:r>
      </m:oMath>
      <w:r>
        <w:rPr>
          <w:rFonts w:hint="eastAsia" w:eastAsia="黑体"/>
        </w:rPr>
        <w:t xml:space="preserve">（即</w:t>
      </w:r>
      <w:r>
        <w:rPr>
          <w:rFonts w:eastAsia="黑体"/>
        </w:rPr>
        <w:t xml:space="preserve"> 2C </w:t>
      </w:r>
      <w:r>
        <w:rPr>
          <w:rFonts w:hint="eastAsia" w:eastAsia="黑体"/>
        </w:rPr>
        <w:t xml:space="preserve">对应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=5 </w:t>
      </w:r>
      <w:r>
        <w:rPr>
          <w:rFonts w:hint="eastAsia" w:eastAsia="黑体"/>
        </w:rPr>
        <w:t xml:space="preserve">kΩ）与</w:t>
      </w:r>
      <w:r>
        <w:rPr>
          <w:rFonts w:eastAsia="黑体"/>
        </w:rPr>
        <w:t xml:space="preserve"> </w:t>
      </w:r>
      <m:oMath>
        <m:r>
          <m:t>2</m:t>
        </m:r>
        <m:r>
          <m:t>C</m:t>
        </m:r>
      </m:oMath>
      <w:r>
        <w:rPr>
          <w:rFonts w:hint="eastAsia" w:eastAsia="黑体"/>
        </w:rPr>
        <w:t xml:space="preserve">（20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nF）精确配对。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运放：TL072、NE5532、OPA2134；电阻电容采用</w:t>
      </w:r>
      <w:r>
        <w:rPr>
          <w:rFonts w:eastAsia="黑体"/>
        </w:rPr>
        <w:t xml:space="preserve"> 1% / C0G </w:t>
      </w:r>
      <w:r>
        <w:rPr>
          <w:rFonts w:hint="eastAsia" w:eastAsia="黑体"/>
        </w:rPr>
        <w:t xml:space="preserve">精密件。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网络元件需严格配对（R/2、2C），否则频率漂移、波形变差。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该振荡器频率调节不便，主要适用于固定频率。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需要稳幅电路（如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AGC、二极管限幅）以控制幅度与失真。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Twin-T oscillator。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应用笔记（Twin-T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振荡器）。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双T振荡器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双T振荡器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