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定时振荡器"/>
    <w:p>
      <w:pPr>
        <w:pStyle w:val="Heading1"/>
      </w:pPr>
      <w:r>
        <w:rPr>
          <w:rFonts w:eastAsia="黑体"/>
        </w:rPr>
        <w:t xml:space="preserve">555 </w:t>
      </w:r>
      <w:r>
        <w:rPr>
          <w:rFonts w:hint="eastAsia" w:eastAsia="黑体"/>
        </w:rPr>
        <w:t xml:space="preserve">定时振荡器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hint="eastAsia" w:eastAsia="黑体"/>
          <w:b/>
          <w:bCs/>
        </w:rPr>
        <w:t xml:space="preserve">一片</w:t>
      </w:r>
      <w:r>
        <w:rPr>
          <w:rFonts w:eastAsia="黑体"/>
          <w:b/>
          <w:bCs/>
        </w:rPr>
        <w:t xml:space="preserve"> 555 </w:t>
      </w:r>
      <w:r>
        <w:rPr>
          <w:rFonts w:hint="eastAsia" w:eastAsia="黑体"/>
          <w:b/>
          <w:bCs/>
        </w:rPr>
        <w:t xml:space="preserve">定时器芯片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外接电阻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hint="eastAsia" w:eastAsia="黑体"/>
          <w:b/>
          <w:bCs/>
        </w:rPr>
        <w:t xml:space="preserve">定时电容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组成无稳态（Astable）多谐振荡器。电路共有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（电源正端、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的电源脚</w:t>
      </w:r>
      <w:r>
        <w:rPr>
          <w:rFonts w:eastAsia="黑体"/>
        </w:rPr>
        <w:t xml:space="preserve"> VCC(8) </w:t>
      </w:r>
      <w:r>
        <w:rPr>
          <w:rFonts w:hint="eastAsia" w:eastAsia="黑体"/>
        </w:rPr>
        <w:t xml:space="preserve">与复位脚</w:t>
      </w:r>
      <w:r>
        <w:rPr>
          <w:rFonts w:eastAsia="黑体"/>
        </w:rPr>
        <w:t xml:space="preserve"> RESET(4)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放电节点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的放电脚</w:t>
      </w:r>
      <w:r>
        <w:rPr>
          <w:rFonts w:eastAsia="黑体"/>
        </w:rPr>
        <w:t xml:space="preserve"> DIS(7)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阈值/触发节点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的阈值脚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THRES(6)、触发脚</w:t>
      </w:r>
      <w:r>
        <w:rPr>
          <w:rFonts w:eastAsia="黑体"/>
        </w:rPr>
        <w:t xml:space="preserve"> TRIG(2)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OUT(3)，作为方波输出送往负载）；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的地脚</w:t>
      </w:r>
      <w:r>
        <w:rPr>
          <w:rFonts w:eastAsia="黑体"/>
        </w:rPr>
        <w:t xml:space="preserve"> GND(1) </w:t>
      </w:r>
      <w:r>
        <w:rPr>
          <w:rFonts w:hint="eastAsia" w:eastAsia="黑体"/>
        </w:rPr>
        <w:t xml:space="preserve">与电源负极相连）；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的控制电压脚</w:t>
      </w:r>
      <w:r>
        <w:rPr>
          <w:rFonts w:eastAsia="黑体"/>
        </w:rPr>
        <w:t xml:space="preserve"> CV(5) </w:t>
      </w:r>
      <w:r>
        <w:rPr>
          <w:rFonts w:hint="eastAsia" w:eastAsia="黑体"/>
        </w:rPr>
        <w:t xml:space="preserve">经去耦电容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VCC(8)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RESET(4) </w:t>
      </w:r>
      <w:r>
        <w:rPr>
          <w:rFonts w:hint="eastAsia" w:eastAsia="黑体"/>
        </w:rPr>
        <w:t xml:space="preserve">接电源节点①、DIS(7)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接放电节点②、THRES(6)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TRIG(2) </w:t>
      </w:r>
      <w:r>
        <w:rPr>
          <w:rFonts w:hint="eastAsia" w:eastAsia="黑体"/>
        </w:rPr>
        <w:t xml:space="preserve">接阈值/触发节点③、OUT(3)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接输出节点④、GND(1)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接地节点⑤、CV(5)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接控制电压节点⑥（并接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到地）；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一端接电源节点①、另一端接放电节点②；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一端接放电节点②、另一端接阈值/触发节点③；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一端接阈值/触发节点③、另一端接地节点⑤；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一端接控制电压节点⑥、另一端接地节点⑤。</w:t>
      </w:r>
    </w:p>
    <w:p>
      <w:pPr/>
      <w:r>
        <w:rPr>
          <w:rFonts w:hint="eastAsia" w:eastAsia="黑体"/>
        </w:rPr>
        <w:t xml:space="preserve">由此构成”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+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充电至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rPr>
          <w:rFonts w:hint="eastAsia" w:eastAsia="黑体"/>
        </w:rPr>
        <w:t xml:space="preserve">、再经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放电至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rPr>
          <w:rFonts w:hint="eastAsia" w:eastAsia="黑体"/>
        </w:rPr>
        <w:t xml:space="preserve">“的</w:t>
      </w:r>
      <w:r>
        <w:rPr>
          <w:rFonts w:eastAsia="黑体"/>
        </w:rPr>
        <w:t xml:space="preserve"> 555 </w:t>
      </w:r>
      <w:r>
        <w:rPr>
          <w:rFonts w:hint="eastAsia" w:eastAsia="黑体"/>
        </w:rPr>
        <w:t xml:space="preserve">无稳态多谐振荡器组态，在输出端产生方波，频率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1.44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，高电平时间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长于低电平时间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0.693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C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上电后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充电，电压升至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时内部比较器翻转、放电管导通，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放电至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时再次翻转，如此循环在输出端产生方波。充电时间常数比放电大，故高电平长于低电平。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低电平时间：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振荡周期与频率：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1.44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占空比：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放电电阻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定时电容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低电平时间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f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周期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 / 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频率下降。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频率下降，周期成比例增大。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相对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占空比上升（高电平占比增大）。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减小（占空比趋近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50%）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波形趋于对称方波。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1.44</m:t>
            </m:r>
          </m:num>
          <m:den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+</m:t>
            </m:r>
            <m:r>
              <m:t>20000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68.6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占空比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rPr>
                <m:sty m:val="p"/>
              </m:rPr>
              <m:t>+</m:t>
            </m:r>
            <m:r>
              <m:t>10000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20000</m:t>
            </m:r>
          </m:den>
        </m:f>
        <m:r>
          <m:rPr>
            <m:sty m:val="p"/>
          </m:rPr>
          <m:t>≈</m:t>
        </m:r>
        <m:r>
          <m:t>52.4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555 </w:t>
      </w:r>
      <w:r>
        <w:rPr>
          <w:rFonts w:hint="eastAsia" w:eastAsia="黑体"/>
        </w:rPr>
        <w:t xml:space="preserve">芯片：NE555、LM555、TLC555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LMC555（CMOS，低功耗）、ICM7555。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或聚酯电容（定时稳定）。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定时电容宜选温度稳定性好的</w:t>
      </w:r>
      <w:r>
        <w:rPr>
          <w:rFonts w:eastAsia="黑体"/>
        </w:rPr>
        <w:t xml:space="preserve"> C0G / </w:t>
      </w:r>
      <w:r>
        <w:rPr>
          <w:rFonts w:hint="eastAsia" w:eastAsia="黑体"/>
        </w:rPr>
        <w:t xml:space="preserve">聚酯，避免电解电容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与漏电影响定时。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占空比无法低于</w:t>
      </w:r>
      <w:r>
        <w:rPr>
          <w:rFonts w:eastAsia="黑体"/>
        </w:rPr>
        <w:t xml:space="preserve"> 50% </w:t>
      </w:r>
      <w:r>
        <w:rPr>
          <w:rFonts w:hint="eastAsia" w:eastAsia="黑体"/>
        </w:rPr>
        <w:t xml:space="preserve">的标准接法，需</w:t>
      </w:r>
      <w:r>
        <w:rPr>
          <w:rFonts w:eastAsia="黑体"/>
        </w:rPr>
        <w:t xml:space="preserve"> &lt; 50% </w:t>
      </w:r>
      <w:r>
        <w:rPr>
          <w:rFonts w:hint="eastAsia" w:eastAsia="黑体"/>
        </w:rPr>
        <w:t xml:space="preserve">时可加二极管旁路充电路径。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CMOS 555 </w:t>
      </w:r>
      <w:r>
        <w:rPr>
          <w:rFonts w:hint="eastAsia" w:eastAsia="黑体"/>
        </w:rPr>
        <w:t xml:space="preserve">静态功耗低、频率上限较高，适合高阻定时网络。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Texas Instruments: NE555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555 timer IC。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555定时振荡器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555定时振荡器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