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压控晶振-vcxo"/>
    <w:p>
      <w:pPr>
        <w:pStyle w:val="Heading1"/>
      </w:pPr>
      <w:r>
        <w:rPr>
          <w:rFonts w:hint="eastAsia" w:eastAsia="黑体"/>
        </w:rPr>
        <w:t xml:space="preserve">压控晶振</w:t>
      </w:r>
      <w:r>
        <w:rPr>
          <w:rFonts w:eastAsia="黑体"/>
        </w:rPr>
        <w:t xml:space="preserve"> VCXO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压控晶振由石英晶体</w:t>
      </w:r>
      <w:r>
        <w:rPr>
          <w:rFonts w:eastAsia="黑体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、振荡放大器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、变容二极管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、耦合电容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、隔离/回路电阻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v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及负载电容组成。节点定义如下：振荡输入节点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与振荡输出节点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的两端，晶体跨接其间；晶体负载节点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为晶体一端与变容管/耦合电容的连接点；控制电压节点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t</m:t>
            </m:r>
            <m:r>
              <m:t>r</m:t>
            </m:r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为输入控制电压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v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的引入点；地节点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汇集变容管阳极/冷端与回路电容的接地端。</w:t>
      </w:r>
    </w:p>
    <w:p>
      <w:pPr/>
      <w:r>
        <w:rPr>
          <w:rFonts w:hint="eastAsia" w:eastAsia="黑体"/>
        </w:rPr>
        <w:t xml:space="preserve">各元件管脚连接：晶体</w:t>
      </w:r>
      <w:r>
        <w:rPr>
          <w:rFonts w:eastAsia="黑体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的两引脚一端接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</m:sub>
        </m:sSub>
      </m:oMath>
      <w:r>
        <w:rPr>
          <w:rFonts w:hint="eastAsia" w:eastAsia="黑体"/>
        </w:rPr>
        <w:t xml:space="preserve">；振荡放大器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、OUT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、V+/V− </w:t>
      </w:r>
      <w:r>
        <w:rPr>
          <w:rFonts w:hint="eastAsia" w:eastAsia="黑体"/>
        </w:rPr>
        <w:t xml:space="preserve">接电源；变容二极管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的阴极接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</m:sub>
        </m:sSub>
      </m:oMath>
      <w:r>
        <w:rPr>
          <w:rFonts w:hint="eastAsia" w:eastAsia="黑体"/>
        </w:rPr>
        <w:t xml:space="preserve">（或经耦合电容到晶体端）、阳极接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GND；耦合电容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阴极（或直接串入支路）；隔离电阻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v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t</m:t>
            </m:r>
            <m:r>
              <m:t>r</m:t>
            </m:r>
            <m:r>
              <m:t>l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阴极，把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反偏加到变容管上改变结电容。</w:t>
      </w:r>
    </w:p>
    <w:p>
      <w:pPr/>
      <w:r>
        <w:rPr>
          <w:rFonts w:hint="eastAsia" w:eastAsia="黑体"/>
        </w:rPr>
        <w:t xml:space="preserve">该电路为晶体振荡器加变容二极管负载牵引结构，控制电压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改变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结电容从而微调晶体谐振频率，实现电压控制的频率牵引。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变容管结电容随反偏电压增大而减小，该电容与晶体共同决定振荡频率（负载电容牵引效应）。调节控制电压即可在晶体串联/并联谐振之间小范围内连续改变输出频率，实现压控牵引。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结电容—偏压关系（突变结近似）：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j</m:t>
                  </m:r>
                  <m:r>
                    <m:t>0</m:t>
                  </m:r>
                </m:sub>
              </m:sSub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R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b</m:t>
                              </m:r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m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牵引频率范围（近似）：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f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pStyle w:val="BlockText"/>
      </w:pPr>
      <w:r>
        <w:rPr>
          <w:rFonts w:hint="eastAsia" w:eastAsia="黑体"/>
        </w:rPr>
        <w:t xml:space="preserve">近似前提：该式适用于小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C</m:t>
            </m:r>
          </m:e>
          <m:sub>
            <m:r>
              <m:t>L</m:t>
            </m:r>
          </m:sub>
        </m:sSub>
      </m:oMath>
      <w:r>
        <w:rPr>
          <w:rFonts w:hint="eastAsia" w:eastAsia="黑体"/>
        </w:rPr>
        <w:t xml:space="preserve">（负载电容变化远小于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L</m:t>
            </m:r>
          </m:sub>
        </m:sSub>
      </m:oMath>
      <w:r>
        <w:rPr>
          <w:rFonts w:hint="eastAsia" w:eastAsia="黑体"/>
        </w:rPr>
        <w:t xml:space="preserve">）、忽略晶体静电容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随负载的变化、忽略晶体与回路寄生参数的一阶近似。大范围牵引或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C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较大时需用完整表达式并按实际电路校正。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压控灵敏度（牵引率）：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f</m:t>
              </m:r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变容管结电容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零偏结电容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反向偏压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内建电位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结电容梯度因子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晶体动态电容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晶体静电容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负载电容变化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标称频率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频率偏移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控制电压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压控灵敏度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Hz/V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控制电压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结电容减小，牵引频率升高（或依接法相反）。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变容管电容变化比</w:t>
      </w:r>
      <w:r>
        <w:rPr>
          <w:rFonts w:eastAsia="黑体"/>
          <w:b/>
          <w:bCs/>
        </w:rPr>
        <w:t xml:space="preserve"> (</w:t>
      </w:r>
      <m:oMath>
        <m:sSub>
          <m:e>
            <m:r>
              <m:t>C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rPr>
          <w:rFonts w:eastAsia="黑体"/>
          <w:b/>
          <w:bCs/>
        </w:rPr>
        <w:t xml:space="preserve">)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压控牵引范围变宽。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串联耦合电容减小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限制了变容管对回路的耦合，牵引范围收窄。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晶体</w:t>
      </w:r>
      <w:r>
        <w:rPr>
          <w:rFonts w:eastAsia="黑体"/>
          <w:b/>
          <w:bCs/>
        </w:rPr>
        <w:t xml:space="preserve"> Q </w:t>
      </w:r>
      <w:r>
        <w:rPr>
          <w:rFonts w:hint="eastAsia" w:eastAsia="黑体"/>
          <w:b/>
          <w:bCs/>
        </w:rPr>
        <w:t xml:space="preserve">值、负载电容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牵引灵敏度下降，可调范围变窄但频率更稳。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fF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Δ</m:t>
        </m:r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/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eastAsia="黑体"/>
        </w:rPr>
        <w:t xml:space="preserve">，即约</w:t>
      </w:r>
      <w:r>
        <w:rPr>
          <w:rFonts w:eastAsia="黑体"/>
        </w:rPr>
        <w:t xml:space="preserve"> 25 ppm。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牵引率</w:t>
      </w:r>
      <w:r>
        <w:rPr>
          <w:rFonts w:eastAsia="黑体"/>
        </w:rPr>
        <w:t xml:space="preserve"> </w:t>
      </w:r>
      <m:oMath>
        <m:sSub>
          <m:e>
            <m:r>
              <m:t>K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ppm/V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 w:eastAsia="黑体"/>
        </w:rPr>
        <w:t xml:space="preserve">：每伏电压改变频率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×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变容二极管：BB910、BB131、1SV264。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熟称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VCXO，常见频率</w:t>
      </w:r>
      <w:r>
        <w:rPr>
          <w:rFonts w:eastAsia="黑体"/>
        </w:rPr>
        <w:t xml:space="preserve"> 12.8 / 19.44 / 155.52 MHz。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常用：按需选型（PLL、电信网同步）。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牵引范围通常仅百</w:t>
      </w:r>
      <w:r>
        <w:rPr>
          <w:rFonts w:eastAsia="黑体"/>
        </w:rPr>
        <w:t xml:space="preserve"> ppm </w:t>
      </w:r>
      <w:r>
        <w:rPr>
          <w:rFonts w:hint="eastAsia" w:eastAsia="黑体"/>
        </w:rPr>
        <w:t xml:space="preserve">级，不能用于大幅调谐。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控制电压纹波会直接转化为频率抖动（相位噪声），需滤除。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变容管非线性会在大牵引时引入失真，PLL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应用需关注线性度。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Wikipedia: Voltage-controlled oscillator。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黑体"/>
        </w:rPr>
        <w:t xml:space="preserve">《锁相技术》相关章节。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压控晶振VCXO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压控晶振VCXO</dc:title>
  <dc:creator>AI 智能体</dc:creator>
  <cp:keywords/>
  <dcterms:created xsi:type="dcterms:W3CDTF">2026-09-08T14:37:12Z</dcterms:created>
  <dcterms:modified xsi:type="dcterms:W3CDTF">2026-09-08T14:37:12Z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