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时钟电路"/>
    <w:p>
      <w:pPr>
        <w:pStyle w:val="Heading1"/>
      </w:pPr>
      <w:r>
        <w:rPr>
          <w:rFonts w:hint="eastAsia" w:eastAsia="黑体"/>
        </w:rPr>
        <w:t xml:space="preserve">时钟电路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向单片机等数字器件提供稳定系统时钟的电路，常见结构有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晶振（Crystal）Y1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两个负载电容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的皮尔斯振荡器、</w:t>
      </w:r>
      <w:r>
        <w:rPr>
          <w:rFonts w:hint="eastAsia" w:eastAsia="黑体"/>
          <w:b/>
          <w:bCs/>
        </w:rPr>
        <w:t xml:space="preserve">陶瓷谐振器</w:t>
      </w:r>
      <w:r>
        <w:rPr>
          <w:rFonts w:hint="eastAsia" w:eastAsia="黑体"/>
        </w:rPr>
        <w:t xml:space="preserve">，以及只需外接电阻电容的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RC </w:t>
      </w:r>
      <w:r>
        <w:rPr>
          <w:rFonts w:hint="eastAsia" w:eastAsia="黑体"/>
          <w:b/>
          <w:bCs/>
        </w:rPr>
        <w:t xml:space="preserve">振荡器</w:t>
      </w:r>
      <w:r>
        <w:rPr>
          <w:rFonts w:hint="eastAsia" w:eastAsia="黑体"/>
        </w:rPr>
        <w:t xml:space="preserve">。晶振两脚分接两个对地负载电容，再接入芯片的</w:t>
      </w:r>
      <w:r>
        <w:rPr>
          <w:rFonts w:eastAsia="黑体"/>
        </w:rPr>
        <w:t xml:space="preserve"> XTAL1/XTAL2 </w:t>
      </w:r>
      <w:r>
        <w:rPr>
          <w:rFonts w:hint="eastAsia" w:eastAsia="黑体"/>
        </w:rPr>
        <w:t xml:space="preserve">引脚，构成并联谐振回路。电路共有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XTAL1 </w:t>
      </w:r>
      <w:r>
        <w:rPr>
          <w:rFonts w:hint="eastAsia" w:eastAsia="黑体"/>
          <w:b/>
          <w:bCs/>
        </w:rPr>
        <w:t xml:space="preserve">引脚节点</w:t>
      </w:r>
      <w:r>
        <w:rPr>
          <w:rFonts w:hint="eastAsia" w:eastAsia="黑体"/>
        </w:rPr>
        <w:t xml:space="preserve">（晶振一脚、C1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XTAL1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XTAL2 </w:t>
      </w:r>
      <w:r>
        <w:rPr>
          <w:rFonts w:hint="eastAsia" w:eastAsia="黑体"/>
          <w:b/>
          <w:bCs/>
        </w:rPr>
        <w:t xml:space="preserve">引脚节点</w:t>
      </w:r>
      <w:r>
        <w:rPr>
          <w:rFonts w:hint="eastAsia" w:eastAsia="黑体"/>
        </w:rPr>
        <w:t xml:space="preserve">（晶振另一脚、C2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XTAL2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（C1、C2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地）；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（芯片振荡电路供电）。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一脚接节点①、另一脚接节点②；</w:t>
      </w: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一端接节点①、另一端接节点③（GND）；</w:t>
      </w: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一端接节点②、另一端接节点③（GND）；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XTAL1 </w:t>
      </w:r>
      <w:r>
        <w:rPr>
          <w:rFonts w:hint="eastAsia" w:eastAsia="黑体"/>
        </w:rPr>
        <w:t xml:space="preserve">脚接节点①、XTAL2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接节点④。两个负载电容通常取相等值，且需满足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与晶振标称负载电容匹配，其中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为走线与引脚寄生电容（约</w:t>
      </w:r>
      <w:r>
        <w:rPr>
          <w:rFonts w:eastAsia="黑体"/>
        </w:rPr>
        <w:t xml:space="preserve"> </w:t>
      </w:r>
      <m:oMath>
        <m:r>
          <m:t>3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）。芯片内部的反相放大器作为负阻跨接在节点①、②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之间，抵消晶振损耗以维持振荡。</w:t>
      </w:r>
    </w:p>
    <w:p>
      <w:pPr/>
      <w:r>
        <w:rPr>
          <w:rFonts w:hint="eastAsia" w:eastAsia="黑体"/>
        </w:rPr>
        <w:t xml:space="preserve">由此构成晶振在串联谐振频率附近呈感性、与</w:t>
      </w:r>
      <w:r>
        <w:rPr>
          <w:rFonts w:eastAsia="黑体"/>
        </w:rPr>
        <w:t xml:space="preserve"> C1/C2 </w:t>
      </w:r>
      <w:r>
        <w:rPr>
          <w:rFonts w:hint="eastAsia" w:eastAsia="黑体"/>
        </w:rPr>
        <w:t xml:space="preserve">构成并联谐振回路的皮尔斯振荡组态，经芯片内部整形与分频，为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CPU、定时器、通信外设提供统一系统时钟。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晶振作为极高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值的压电谐振器件，在串联谐振频率附近呈现感性，与负载电容构成并联谐振并维持振荡。芯片内部的反相放大器提供负阻以抵消晶振的损耗，使振荡持续；信号再经内部整形与分频得到所需的系统时钟。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负载电容（两电容串联）：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皮尔斯振荡器增益裕度（负阻条件）：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</m:sub>
              </m:sSub>
            </m:num>
            <m:den>
              <m:r>
                <m:t>E</m:t>
              </m:r>
              <m:r>
                <m:t>S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t>E</m:t>
          </m:r>
          <m:r>
            <m:t>S</m:t>
          </m:r>
          <m:r>
            <m:t>R</m:t>
          </m:r>
          <m:r>
            <m:t> 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谐振频率（若有外部串联或并联电容微调）：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两个负载电容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晶振并联（静态）电容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布线及引脚寄生电容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S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晶振等效串联电阻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晶振串联谐振频率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振荡器跨导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增大，起振更稳定，但实际振荡频率略微拉低、起振时间变长。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起振困难、波形畸变，甚至不起振。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ESR </w:t>
      </w:r>
      <w:r>
        <w:rPr>
          <w:rFonts w:hint="eastAsia" w:eastAsia="黑体"/>
          <w:b/>
          <w:bCs/>
        </w:rPr>
        <w:t xml:space="preserve">过大（晶振老化/误选型）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损耗增大，相位裕度不足，振荡不稳定或停振。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两个负载电容通常取相等，且应包含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走线与引脚寄生电容（约</w:t>
      </w:r>
      <w:r>
        <w:rPr>
          <w:rFonts w:eastAsia="黑体"/>
        </w:rPr>
        <w:t xml:space="preserve"> 3~5 </w:t>
      </w:r>
      <w:r>
        <w:rPr>
          <w:rFonts w:hint="eastAsia" w:eastAsia="黑体"/>
        </w:rPr>
        <w:t xml:space="preserve">pF）的影响。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 MHz </w:t>
      </w:r>
      <w:r>
        <w:rPr>
          <w:rFonts w:hint="eastAsia" w:eastAsia="黑体"/>
        </w:rPr>
        <w:t xml:space="preserve">晶振，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，寄生电容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  <m:r>
                <m:rPr>
                  <m:sty m:val="p"/>
                </m:rPr>
                <m:t>×</m:t>
              </m:r>
              <m:r>
                <m:t>22</m:t>
              </m:r>
            </m:num>
            <m:den>
              <m:r>
                <m:t>22</m:t>
              </m:r>
              <m:r>
                <m:rPr>
                  <m:sty m:val="p"/>
                </m:rPr>
                <m:t>+</m:t>
              </m:r>
              <m:r>
                <m:t>22</m:t>
              </m:r>
            </m:den>
          </m:f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16</m:t>
          </m:r>
          <m:r>
            <m:t> </m:t>
          </m:r>
          <m:r>
            <m:rPr>
              <m:nor/>
              <m:sty m:val="p"/>
            </m:rPr>
            <m:t>pF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典型</w:t>
      </w:r>
      <w:r>
        <w:rPr>
          <w:rFonts w:eastAsia="黑体"/>
        </w:rPr>
        <w:t xml:space="preserve"> 32.768 kHz </w:t>
      </w:r>
      <w:r>
        <w:rPr>
          <w:rFonts w:hint="eastAsia" w:eastAsia="黑体"/>
        </w:rPr>
        <w:t xml:space="preserve">表晶负载电容为</w:t>
      </w:r>
      <w:r>
        <w:rPr>
          <w:rFonts w:eastAsia="黑体"/>
        </w:rPr>
        <w:t xml:space="preserve"> 12.5 </w:t>
      </w:r>
      <w:r>
        <w:rPr>
          <w:rFonts w:hint="eastAsia" w:eastAsia="黑体"/>
        </w:rPr>
        <w:t xml:space="preserve">pF，配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晶振：HC-49S、5032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贴片晶振、3225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表晶：32.768</w:t>
      </w:r>
      <w:r>
        <w:rPr>
          <w:rFonts w:eastAsia="黑体"/>
        </w:rPr>
        <w:t xml:space="preserve"> kHz </w:t>
      </w:r>
      <w:r>
        <w:rPr>
          <w:rFonts w:hint="eastAsia" w:eastAsia="黑体"/>
        </w:rPr>
        <w:t xml:space="preserve">圆柱晶振（如</w:t>
      </w:r>
      <w:r>
        <w:rPr>
          <w:rFonts w:eastAsia="黑体"/>
        </w:rPr>
        <w:t xml:space="preserve"> 3×8 </w:t>
      </w:r>
      <w:r>
        <w:rPr>
          <w:rFonts w:hint="eastAsia" w:eastAsia="黑体"/>
        </w:rPr>
        <w:t xml:space="preserve">mm）。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陶瓷谐振器：村田（Murata）CSTCE/CSTCR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负载电容：C0G/NP0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贴片电容（精度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±5%）。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晶振及负载电容应尽量靠近芯片引脚，走线短而对称，远离大电流开关走线。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负载电容值须与晶振标称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匹配，实际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包含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寄生电容，需按数据手册微调。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晶振周围做地隔离环（guard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ring），避免数字噪声串扰。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上电后应校验起振时间与频率精度，必要时加匹配电阻或减小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《单片机原理及应用》（或</w:t>
      </w:r>
      <w:r>
        <w:rPr>
          <w:rFonts w:eastAsia="黑体"/>
        </w:rPr>
        <w:t xml:space="preserve"> STC / STM32 </w:t>
      </w:r>
      <w:r>
        <w:rPr>
          <w:rFonts w:hint="eastAsia" w:eastAsia="黑体"/>
        </w:rPr>
        <w:t xml:space="preserve">数据手册时钟章节）。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应用笔记：晶体振荡器设计（如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SZZA043）。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时钟电路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时钟电路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