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i2c-接口电路"/>
    <w:p>
      <w:pPr>
        <w:pStyle w:val="Heading1"/>
      </w:pPr>
      <w:r>
        <w:rPr>
          <w:rFonts w:eastAsia="黑体"/>
        </w:rPr>
        <w:t xml:space="preserve">I2C </w:t>
      </w:r>
      <w:r>
        <w:rPr>
          <w:rFonts w:hint="eastAsia" w:eastAsia="黑体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I2C（Inter-Integrated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Circuit，两线式串行总线）接口电路由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SCL </w:t>
      </w:r>
      <w:r>
        <w:rPr>
          <w:rFonts w:hint="eastAsia" w:eastAsia="黑体"/>
          <w:b/>
          <w:bCs/>
        </w:rPr>
        <w:t xml:space="preserve">串行时钟线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SDA </w:t>
      </w:r>
      <w:r>
        <w:rPr>
          <w:rFonts w:hint="eastAsia" w:eastAsia="黑体"/>
          <w:b/>
          <w:bCs/>
        </w:rPr>
        <w:t xml:space="preserve">串行数据线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两条开漏（Open-Drain）信号线组成，每条线经一个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接正电源，多个器件（主机与从机）并联在同一对线上。电路共有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时钟线</w:t>
      </w:r>
      <w:r>
        <w:rPr>
          <w:rFonts w:eastAsia="黑体"/>
          <w:b/>
          <w:bCs/>
        </w:rPr>
        <w:t xml:space="preserve"> SCL</w:t>
      </w:r>
      <w:r>
        <w:rPr>
          <w:rFonts w:hint="eastAsia" w:eastAsia="黑体"/>
        </w:rPr>
        <w:t xml:space="preserve">（主机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SCL、各从机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上拉电阻三者相连）；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数据线</w:t>
      </w:r>
      <w:r>
        <w:rPr>
          <w:rFonts w:eastAsia="黑体"/>
          <w:b/>
          <w:bCs/>
        </w:rPr>
        <w:t xml:space="preserve"> SDA</w:t>
      </w:r>
      <w:r>
        <w:rPr>
          <w:rFonts w:hint="eastAsia" w:eastAsia="黑体"/>
        </w:rPr>
        <w:t xml:space="preserve">（主机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SDA、各从机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上拉电阻三者相连）；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上拉电源端</w:t>
      </w:r>
      <w:r>
        <w:rPr>
          <w:rFonts w:hint="eastAsia" w:eastAsia="黑体"/>
        </w:rPr>
        <w:t xml:space="preserve">（两支上拉电阻接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主机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脚接节点①、SDA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接节点④、地脚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接节点⑤；</w:t>
      </w:r>
      <w:r>
        <w:rPr>
          <w:rFonts w:hint="eastAsia" w:eastAsia="黑体"/>
          <w:b/>
          <w:bCs/>
        </w:rPr>
        <w:t xml:space="preserve">各从机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脚接节点①、SDA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接节点④、地脚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接节点⑤；</w:t>
      </w:r>
      <w:r>
        <w:rPr>
          <w:rFonts w:hint="eastAsia" w:eastAsia="黑体"/>
          <w:b/>
          <w:bCs/>
        </w:rPr>
        <w:t xml:space="preserve">两支上拉电阻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一端均接节点③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，另一端分别接节点①（SCL）与节点②（SDA），为开漏总线提供高电平。总线上拉电阻取值满足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D</m:t>
                </m:r>
                <m:r>
                  <m:t>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O</m:t>
                </m:r>
                <m:r>
                  <m:t>L</m:t>
                </m:r>
                <m:r>
                  <m:rPr>
                    <m:sty m:val="p"/>
                  </m:rPr>
                  <m:t>max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O</m:t>
                </m:r>
                <m:r>
                  <m:t>L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r</m:t>
                </m:r>
              </m:sub>
            </m:sSub>
          </m:num>
          <m:den>
            <m:r>
              <m:t>0.8473</m:t>
            </m:r>
            <m:r>
              <m:t> </m:t>
            </m:r>
            <m:sSub>
              <m:e>
                <m:r>
                  <m:t>C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 w:eastAsia="黑体"/>
        </w:rPr>
        <w:t xml:space="preserve">，上升时间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0.8473</m:t>
        </m:r>
        <m:r>
          <m:t> </m:t>
        </m:r>
        <m:sSub>
          <m:e>
            <m:r>
              <m:t>R</m:t>
            </m:r>
          </m:e>
          <m:sub>
            <m:r>
              <m:t>p</m:t>
            </m:r>
          </m:sub>
        </m:sSub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。总线空闲时两线均被上拉为高电平，主机在节点①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上产生时钟，器件按起始/停止条件与每字节应答（ACK）位完成寻址与传输；标准速率</w:t>
      </w:r>
      <w:r>
        <w:rPr>
          <w:rFonts w:eastAsia="黑体"/>
        </w:rPr>
        <w:t xml:space="preserve"> 100 </w:t>
      </w:r>
      <w:r>
        <w:rPr>
          <w:rFonts w:hint="eastAsia" w:eastAsia="黑体"/>
        </w:rPr>
        <w:t xml:space="preserve">kbps、快速</w:t>
      </w:r>
      <w:r>
        <w:rPr>
          <w:rFonts w:eastAsia="黑体"/>
        </w:rPr>
        <w:t xml:space="preserve"> 400 </w:t>
      </w:r>
      <w:r>
        <w:rPr>
          <w:rFonts w:hint="eastAsia" w:eastAsia="黑体"/>
        </w:rPr>
        <w:t xml:space="preserve">kbps、快速+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Mbps、高速</w:t>
      </w:r>
      <w:r>
        <w:rPr>
          <w:rFonts w:eastAsia="黑体"/>
        </w:rPr>
        <w:t xml:space="preserve"> 3.4 Mbps。</w:t>
      </w:r>
    </w:p>
    <w:p>
      <w:pPr/>
      <w:r>
        <w:rPr>
          <w:rFonts w:hint="eastAsia" w:eastAsia="黑体"/>
        </w:rPr>
        <w:t xml:space="preserve">由此构成”两条开漏信号线</w:t>
      </w:r>
      <w:r>
        <w:rPr>
          <w:rFonts w:eastAsia="黑体"/>
        </w:rPr>
        <w:t xml:space="preserve"> SCL/SDA </w:t>
      </w:r>
      <w:r>
        <w:rPr>
          <w:rFonts w:hint="eastAsia" w:eastAsia="黑体"/>
        </w:rPr>
        <w:t xml:space="preserve">各配上拉电阻、多主机多从机并联共享、以起止条件加应答寻址”的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组态，用于板内传感器、EEPROM、PMIC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等短距低速通信。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主机在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上产生时钟，在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上通过开漏下拉/释放驱动高低电平：器件拉低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表示逻辑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0，释放后由上拉电阻拉回高电平表示逻辑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1。总线空闲时两线均为高电平；起始/停止条件与每字节后的应答（ACK）位完成寻址与数据传输。开漏结构允许多器件共享总线而不冲突。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上拉电阻下限（保证驱动能力，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为总线电容，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0.4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上拉电阻上限（保证上升沿时间内充电）：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0.8473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总线上升时间（标准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上限</w:t>
      </w:r>
      <w:r>
        <w:rPr>
          <w:rFonts w:eastAsia="黑体"/>
        </w:rPr>
        <w:t xml:space="preserve"> 300 ns / </w:t>
      </w:r>
      <w:r>
        <w:rPr>
          <w:rFonts w:hint="eastAsia" w:eastAsia="黑体"/>
        </w:rPr>
        <w:t xml:space="preserve">快速</w:t>
      </w:r>
      <w:r>
        <w:rPr>
          <w:rFonts w:eastAsia="黑体"/>
        </w:rPr>
        <w:t xml:space="preserve"> 300 ns / </w:t>
      </w:r>
      <w:r>
        <w:rPr>
          <w:rFonts w:hint="eastAsia" w:eastAsia="黑体"/>
        </w:rPr>
        <w:t xml:space="preserve">高速</w:t>
      </w:r>
      <w:r>
        <w:rPr>
          <w:rFonts w:eastAsia="黑体"/>
        </w:rPr>
        <w:t xml:space="preserve"> 120 </w:t>
      </w:r>
      <w:r>
        <w:rPr>
          <w:rFonts w:hint="eastAsia" w:eastAsia="黑体"/>
        </w:rPr>
        <w:t xml:space="preserve">ns）：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0.8473</m:t>
          </m:r>
          <m:r>
            <m:t> </m:t>
          </m:r>
          <m:sSub>
            <m:e>
              <m:r>
                <m:t>R</m:t>
              </m:r>
            </m:e>
            <m:sub>
              <m:r>
                <m:t>p</m:t>
              </m:r>
            </m:sub>
          </m:sSub>
          <m:sSub>
            <m:e>
              <m:r>
                <m:t>C</m:t>
              </m:r>
            </m:e>
            <m:sub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位速率与时钟周期的关系：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电源电压（1.8/3.3/5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低电平输出电压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总线等效电容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上升时间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Rp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上升时间变长、总线变慢，但功耗降低；过大则无法在速率要求内完成上升。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Rp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上升加快、支持更高速率，但灌电流与功耗增大，过小可能低于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rPr>
                <m:sty m:val="p"/>
              </m:rPr>
              <m:t>min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总线电容</w:t>
      </w:r>
      <w:r>
        <w:rPr>
          <w:rFonts w:eastAsia="黑体"/>
          <w:b/>
          <w:bCs/>
        </w:rPr>
        <w:t xml:space="preserve"> Cb ↑</w:t>
      </w:r>
      <w:r>
        <w:rPr>
          <w:rFonts w:hint="eastAsia" w:eastAsia="黑体"/>
        </w:rPr>
        <w:t xml:space="preserve">（器件多、走线长）→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上升时间增大，需减小</w:t>
      </w:r>
      <w:r>
        <w:rPr>
          <w:rFonts w:eastAsia="黑体"/>
        </w:rPr>
        <w:t xml:space="preserve"> Rp </w:t>
      </w:r>
      <w:r>
        <w:rPr>
          <w:rFonts w:hint="eastAsia" w:eastAsia="黑体"/>
        </w:rPr>
        <w:t xml:space="preserve">或降低速率。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VDD </w:t>
      </w:r>
      <w:r>
        <w:rPr>
          <w:rFonts w:hint="eastAsia" w:eastAsia="黑体"/>
          <w:b/>
          <w:bCs/>
        </w:rPr>
        <w:t xml:space="preserve">电平不匹配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时各器件逻辑阈值不同，需电平转换避免误判。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  <m:r>
              <m:rPr>
                <m:sty m:val="p"/>
              </m:rPr>
              <m:t>−</m:t>
            </m:r>
            <m:r>
              <m:t>0.4</m:t>
            </m:r>
          </m:num>
          <m:den>
            <m:r>
              <m:t>0.003</m:t>
            </m:r>
          </m:den>
        </m:f>
        <m:r>
          <m:rPr>
            <m:sty m:val="p"/>
          </m:rPr>
          <m:t>≈</m:t>
        </m:r>
        <m:r>
          <m:t>967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 w:eastAsia="黑体"/>
        </w:rPr>
        <w:t xml:space="preserve">（快速模式）、</w:t>
      </w:r>
      <m:oMath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0.8473</m:t>
            </m:r>
            <m:r>
              <m:rPr>
                <m:sty m:val="p"/>
              </m:rPr>
              <m:t>×</m:t>
            </m:r>
            <m:r>
              <m:t>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1.77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I2C </w:t>
      </w:r>
      <w:r>
        <w:rPr>
          <w:rFonts w:hint="eastAsia" w:eastAsia="黑体"/>
        </w:rPr>
        <w:t xml:space="preserve">电平转换/缓冲：TCA9517、PCA9306、LTC4316。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上拉电阻：4.7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kΩ（标准）、2.2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kΩ（快速模式）。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常见</w:t>
      </w:r>
      <w:r>
        <w:rPr>
          <w:rFonts w:eastAsia="黑体"/>
        </w:rPr>
        <w:t xml:space="preserve"> I2C </w:t>
      </w:r>
      <w:r>
        <w:rPr>
          <w:rFonts w:hint="eastAsia" w:eastAsia="黑体"/>
        </w:rPr>
        <w:t xml:space="preserve">从机：AT24C02（EEPROM）、PCF8574（IO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扩展）。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上拉电阻必须接同一电源轨，走线长或器件多时适当降低阻值。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需加入起始/停止、应答与器件地址正确时序；7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位地址最多</w:t>
      </w:r>
      <w:r>
        <w:rPr>
          <w:rFonts w:eastAsia="黑体"/>
        </w:rPr>
        <w:t xml:space="preserve"> 112 </w:t>
      </w:r>
      <w:r>
        <w:rPr>
          <w:rFonts w:hint="eastAsia" w:eastAsia="黑体"/>
        </w:rPr>
        <w:t xml:space="preserve">个地址，10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位扩址。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5 V/3.3 V/1.8 V </w:t>
      </w:r>
      <w:r>
        <w:rPr>
          <w:rFonts w:hint="eastAsia" w:eastAsia="黑体"/>
        </w:rPr>
        <w:t xml:space="preserve">器件混合时使用电平转换，避免逻辑阈值不匹配。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NXP: I2C-bus specification and user </w:t>
      </w:r>
      <w:r>
        <w:rPr>
          <w:rFonts w:hint="eastAsia" w:eastAsia="黑体"/>
        </w:rPr>
        <w:t xml:space="preserve">manual（UM10204）。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TI: TCA9517 </w:t>
      </w:r>
      <w:r>
        <w:rPr>
          <w:rFonts w:hint="eastAsia" w:eastAsia="黑体"/>
        </w:rPr>
        <w:t xml:space="preserve">数据手册（I2C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电平转换缓冲器）。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I²C。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I2C接口电路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I2C接口电路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