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art-串口电路"/>
    <w:p>
      <w:pPr>
        <w:pStyle w:val="Heading1"/>
      </w:pPr>
      <w:r>
        <w:rPr>
          <w:rFonts w:eastAsia="黑体"/>
        </w:rPr>
        <w:t xml:space="preserve">UART </w:t>
      </w:r>
      <w:r>
        <w:rPr>
          <w:rFonts w:hint="eastAsia" w:eastAsia="黑体"/>
        </w:rPr>
        <w:t xml:space="preserve">串口电路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UART </w:t>
      </w:r>
      <w:r>
        <w:rPr>
          <w:rFonts w:hint="eastAsia" w:eastAsia="黑体"/>
          <w:b/>
          <w:bCs/>
        </w:rPr>
        <w:t xml:space="preserve">外设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对端设备</w:t>
      </w:r>
      <w:r>
        <w:rPr>
          <w:rFonts w:hint="eastAsia" w:eastAsia="黑体"/>
        </w:rPr>
        <w:t xml:space="preserve">（PC、传感器、另一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MCU）通过交叉连接的</w:t>
      </w:r>
      <w:r>
        <w:rPr>
          <w:rFonts w:eastAsia="黑体"/>
        </w:rPr>
        <w:t xml:space="preserve"> TXD/RXD </w:t>
      </w:r>
      <w:r>
        <w:rPr>
          <w:rFonts w:hint="eastAsia" w:eastAsia="黑体"/>
        </w:rPr>
        <w:t xml:space="preserve">组成异步串行通信链路，中间常加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电平转换器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（RS-232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MAX232、RS-485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MAX485）。电路共有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发送线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端，经电平转换后接到对端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接收线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端，经电平转换后接到对端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共地线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的发送引脚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接节点①、接收引脚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接节点③；</w:t>
      </w:r>
      <w:r>
        <w:rPr>
          <w:rFonts w:hint="eastAsia" w:eastAsia="黑体"/>
          <w:b/>
          <w:bCs/>
        </w:rPr>
        <w:t xml:space="preserve">对端设备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脚接节点①、TX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接节点③，实现交叉连接（双方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接对方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RXD）；</w:t>
      </w:r>
      <w:r>
        <w:rPr>
          <w:rFonts w:eastAsia="黑体"/>
          <w:b/>
          <w:bCs/>
        </w:rPr>
        <w:t xml:space="preserve">MAX232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T1IN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TXD、T1OUT </w:t>
      </w:r>
      <w:r>
        <w:rPr>
          <w:rFonts w:hint="eastAsia" w:eastAsia="黑体"/>
        </w:rPr>
        <w:t xml:space="preserve">接对端</w:t>
      </w:r>
      <w:r>
        <w:rPr>
          <w:rFonts w:eastAsia="黑体"/>
        </w:rPr>
        <w:t xml:space="preserve"> RX、R1IN </w:t>
      </w:r>
      <w:r>
        <w:rPr>
          <w:rFonts w:hint="eastAsia" w:eastAsia="黑体"/>
        </w:rPr>
        <w:t xml:space="preserve">接对端</w:t>
      </w:r>
      <w:r>
        <w:rPr>
          <w:rFonts w:eastAsia="黑体"/>
        </w:rPr>
        <w:t xml:space="preserve"> TX、R1OUT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RXD，其</w:t>
      </w:r>
      <w:r>
        <w:rPr>
          <w:rFonts w:eastAsia="黑体"/>
        </w:rPr>
        <w:t xml:space="preserve"> VCC/V+、V− </w:t>
      </w:r>
      <w:r>
        <w:rPr>
          <w:rFonts w:hint="eastAsia" w:eastAsia="黑体"/>
        </w:rPr>
        <w:t xml:space="preserve">接电源与地；</w:t>
      </w:r>
      <w:r>
        <w:rPr>
          <w:rFonts w:eastAsia="黑体"/>
          <w:b/>
          <w:bCs/>
        </w:rPr>
        <w:t xml:space="preserve">MAX485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则将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差分对接到对端，RE/DE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方向脚由</w:t>
      </w:r>
      <w:r>
        <w:rPr>
          <w:rFonts w:eastAsia="黑体"/>
        </w:rPr>
        <w:t xml:space="preserve"> MCU GPIO </w:t>
      </w:r>
      <w:r>
        <w:rPr>
          <w:rFonts w:hint="eastAsia" w:eastAsia="黑体"/>
        </w:rPr>
        <w:t xml:space="preserve">控制。双方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必须共地，TX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交叉互联，且双方约定波特率、数据位、校验位与停止位。</w:t>
      </w:r>
    </w:p>
    <w:p>
      <w:pPr/>
      <w:r>
        <w:rPr>
          <w:rFonts w:hint="eastAsia" w:eastAsia="黑体"/>
        </w:rPr>
        <w:t xml:space="preserve">由此构成”双方按约定波特率/数据位/校验位/停止位、无共享时钟的点对点异步串行通信”的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组态，配合电平转换器实现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RS-232/RS-485 </w:t>
      </w:r>
      <w:r>
        <w:rPr>
          <w:rFonts w:hint="eastAsia" w:eastAsia="黑体"/>
        </w:rPr>
        <w:t xml:space="preserve">之间的电平匹配与传输。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发送方按约定的位定时把数据逐位移位到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线上，先发起始位（拉低），再发数据位、可选校验位，最后发停止位（拉高）；接收方用本地时钟过采样检测起始位并对每个数据位中间采样，还原出并行数据。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波特率与位周期：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Baud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波特率发生器分频值（PCLK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为外设时钟）：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USARTDIV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rPr>
                  <m:nor/>
                  <m:sty m:val="p"/>
                </m:rPr>
                <m:t>Baud</m:t>
              </m:r>
              <m:r>
                <m:rPr>
                  <m:sty m:val="p"/>
                </m:rPr>
                <m:t>×</m:t>
              </m:r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有效数据吞吐率：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Baud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数据位数</m:t>
              </m:r>
            </m:num>
            <m:den>
              <m:r>
                <m:rPr>
                  <m:nor/>
                  <m:sty m:val="p"/>
                </m:rPr>
                <m:t>总位数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Baud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外设时钟频率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USARTDIV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波特率↑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传输更快，但对时钟误差和信号质量更敏感，误码率上升。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主时钟误差↑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收发双方定时偏差增大，误差超限会导致通信失败。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信号线过长/电容过大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边沿变缓，最高可靠波特率下降。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校验位（奇/偶）选择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增加一位开销换取出错检测能力。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波特率</w:t>
      </w:r>
      <w:r>
        <w:rPr>
          <w:rFonts w:eastAsia="黑体"/>
        </w:rPr>
        <w:t xml:space="preserve"> </w:t>
      </w:r>
      <m:oMath>
        <m:r>
          <m:t>9600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bps：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9600</m:t>
            </m:r>
          </m:den>
        </m:f>
        <m:r>
          <m:rPr>
            <m:sty m:val="p"/>
          </m:rPr>
          <m:t>≈</m:t>
        </m:r>
        <m:r>
          <m:t>104.2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P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、Baud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115200</m:t>
        </m:r>
      </m:oMath>
      <w:r>
        <w:rPr>
          <w:rFonts w:hint="eastAsia" w:eastAsia="黑体"/>
        </w:rPr>
        <w:t xml:space="preserve">：</w:t>
      </w:r>
      <m:oMath>
        <m:r>
          <m:rPr>
            <m:nor/>
            <m:sty m:val="p"/>
          </m:rPr>
          <m:t>USARTDIV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115200</m:t>
            </m:r>
            <m:r>
              <m:rPr>
                <m:sty m:val="p"/>
              </m:rPr>
              <m:t>×</m:t>
            </m:r>
            <m:r>
              <m:t>16</m:t>
            </m:r>
          </m:den>
        </m:f>
        <m:r>
          <m:rPr>
            <m:sty m:val="p"/>
          </m:rPr>
          <m:t>≈</m:t>
        </m:r>
        <m:r>
          <m:t>22.79</m:t>
        </m:r>
      </m:oMath>
      <w:r>
        <w:rPr>
          <w:rFonts w:hint="eastAsia" w:eastAsia="黑体"/>
        </w:rPr>
        <w:t xml:space="preserve">，取整后实际波特率误差在容限内。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电平转换：MAX232（RS-232）、MAX485/SN75176（RS-485）、CH340G（USB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转串口）。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逻辑转换：74LVC1T45、TXS0102。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主控：STM32F1、STC89C52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外设。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两设备必须</w:t>
      </w:r>
      <w:r>
        <w:rPr>
          <w:rFonts w:eastAsia="黑体"/>
        </w:rPr>
        <w:t xml:space="preserve"> TTL/RS-232 </w:t>
      </w:r>
      <w:r>
        <w:rPr>
          <w:rFonts w:hint="eastAsia" w:eastAsia="黑体"/>
        </w:rPr>
        <w:t xml:space="preserve">电平匹配，TTL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RS-232 </w:t>
      </w:r>
      <w:r>
        <w:rPr>
          <w:rFonts w:hint="eastAsia" w:eastAsia="黑体"/>
        </w:rPr>
        <w:t xml:space="preserve">之间不能直连。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收发双方的波特率误差通常需控制在</w:t>
      </w:r>
      <w:r>
        <w:rPr>
          <w:rFonts w:eastAsia="黑体"/>
        </w:rPr>
        <w:t xml:space="preserve"> ±2% </w:t>
      </w:r>
      <w:r>
        <w:rPr>
          <w:rFonts w:hint="eastAsia" w:eastAsia="黑体"/>
        </w:rPr>
        <w:t xml:space="preserve">以内。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TXD </w:t>
      </w:r>
      <w:r>
        <w:rPr>
          <w:rFonts w:hint="eastAsia" w:eastAsia="黑体"/>
        </w:rPr>
        <w:t xml:space="preserve">接对方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RXD（交叉连接），GND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必须共地。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使用含晶振或精准时钟源，避免内部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振荡器温漂造成波特率失配。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Universal asynchronous receiver-transmitter。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MAX232 </w:t>
      </w:r>
      <w:r>
        <w:rPr>
          <w:rFonts w:hint="eastAsia" w:eastAsia="黑体"/>
        </w:rPr>
        <w:t xml:space="preserve">数据手册（Maxim/TI）。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UART串口电路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UART串口电路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