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速电平转换电路"/>
    <w:p>
      <w:pPr>
        <w:pStyle w:val="Heading1"/>
      </w:pPr>
      <w:r>
        <w:rPr>
          <w:rFonts w:hint="eastAsia" w:eastAsia="黑体"/>
        </w:rPr>
        <w:t xml:space="preserve">高速电平转换电路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专用高速电平转换缓冲器/方向控制驱动器</w:t>
      </w:r>
      <w:r>
        <w:rPr>
          <w:rFonts w:eastAsia="黑体"/>
          <w:b/>
          <w:bCs/>
        </w:rPr>
        <w:t xml:space="preserve"> B1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两侧不同电源轨（低压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、高压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低寄生走线/终端匹配（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、终端电阻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（低压域逻辑输入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驱动器输入节点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的低压侧输入端口）；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驱动器输出节点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的高压侧输出端口，即转换后的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高压侧电源脚）；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低压侧电源脚）；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参考/地节点</w:t>
      </w:r>
      <w:r>
        <w:rPr>
          <w:rFonts w:hint="eastAsia" w:eastAsia="黑体"/>
        </w:rPr>
        <w:t xml:space="preserve">（GND，接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地脚与终端匹配参考）。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的输入脚接节点②、输出脚接节点③、高压侧电源脚接节点④（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）、低压侧电源脚接节点⑤（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）、地脚接节点⑥（GND），其方向控制脚（OE/方向端）接控制信号；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（终端匹配）一端接节点③、另一端接节点⑥（GND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或终端轨），特性阻抗与走线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匹配；低压侧走线接节点①，高压侧走线接节点③。</w:t>
      </w:r>
    </w:p>
    <w:p>
      <w:pPr/>
      <w:r>
        <w:rPr>
          <w:rFonts w:hint="eastAsia" w:eastAsia="黑体"/>
        </w:rPr>
        <w:t xml:space="preserve">由此构成”高速驱动器把低压域信号快速摆到目标电源轨、并经终端匹配抑制反射”的高速电平转换组态，用于几百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至数百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的单向或双向信号传输，需严格控制传播延时与信号完整性。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输入经高速互补驱动级快速翻转，输出级把信号摆到目标电源轨，以很小的传播延时和上升沿传递。通过阻抗匹配终端抑制反射，保证高速下信号完整性与时序裕量。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最大数据率（受传播延时限制）：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上升时间与带宽关系：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B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0.35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特性阻抗匹配条件（无反射）：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输出功耗（动态，随速率上升）：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t>f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传播延时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传输线特性阻抗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工作频率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上升时间缩短、速度提高、动态功耗下降。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终端电阻与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抑制反射，减小过冲与振铃。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传播延时选小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可支持更高数据率。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走线过长或阻抗失配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反射增大，信号完整性与抖动变差。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L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H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1.8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3.24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专用电平转换：TXB/LSF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系列、SN74AVC（TI）、NLSX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系列（onsemi）。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缓冲器：74LVC、74AUP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高速时需处理传输线反射，必要时加串联/并联终端。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电源去耦要好，避免切换噪声耦合到信号。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双向高性能总线建议用带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OE/方向控制的专用收发器。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产品页：TXB0104。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Signal integrity。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Howard Johnson《High-Speed Digital Design》。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高速电平转换电路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高速电平转换电路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