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可编程基准源电路"/>
    <w:p>
      <w:pPr>
        <w:pStyle w:val="Heading1"/>
      </w:pPr>
      <w:r>
        <w:rPr>
          <w:rFonts w:hint="eastAsia" w:eastAsia="黑体"/>
        </w:rPr>
        <w:t xml:space="preserve">可编程基准源电路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元件组成与节点定义：电路由</w:t>
      </w:r>
      <w:r>
        <w:rPr>
          <w:rFonts w:hint="eastAsia" w:eastAsia="黑体"/>
          <w:b/>
          <w:bCs/>
        </w:rPr>
        <w:t xml:space="preserve">带隙基准核（或多位</w:t>
      </w:r>
      <w:r>
        <w:rPr>
          <w:rFonts w:eastAsia="黑体"/>
          <w:b/>
          <w:bCs/>
        </w:rPr>
        <w:t xml:space="preserve"> DAC </w:t>
      </w:r>
      <w:r>
        <w:rPr>
          <w:rFonts w:hint="eastAsia" w:eastAsia="黑体"/>
          <w:b/>
          <w:bCs/>
        </w:rPr>
        <w:t xml:space="preserve">基准）U1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数字控制的电阻分压/数字电位计网络</w:t>
      </w:r>
      <w:r>
        <w:rPr>
          <w:rFonts w:eastAsia="黑体"/>
          <w:b/>
          <w:bCs/>
        </w:rPr>
        <w:t xml:space="preserve"> RP1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输出缓冲运算放大器</w:t>
      </w:r>
      <w:r>
        <w:rPr>
          <w:rFonts w:eastAsia="黑体"/>
          <w:b/>
          <w:bCs/>
        </w:rPr>
        <w:t xml:space="preserve"> U2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U1、U2 </w:t>
      </w:r>
      <w:r>
        <w:rPr>
          <w:rFonts w:hint="eastAsia" w:eastAsia="黑体"/>
        </w:rPr>
        <w:t xml:space="preserve">的电源脚）；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U1、U2、RP1 </w:t>
      </w:r>
      <w:r>
        <w:rPr>
          <w:rFonts w:hint="eastAsia" w:eastAsia="黑体"/>
        </w:rPr>
        <w:t xml:space="preserve">下端）；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基础基准节点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输出脚与</w:t>
      </w:r>
      <w:r>
        <w:rPr>
          <w:rFonts w:eastAsia="黑体"/>
        </w:rPr>
        <w:t xml:space="preserve"> RP1 </w:t>
      </w:r>
      <w:r>
        <w:rPr>
          <w:rFonts w:hint="eastAsia" w:eastAsia="黑体"/>
        </w:rPr>
        <w:t xml:space="preserve">上端）；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数字接口节点</w:t>
      </w:r>
      <w:r>
        <w:rPr>
          <w:rFonts w:hint="eastAsia" w:eastAsia="黑体"/>
        </w:rPr>
        <w:t xml:space="preserve">（SPI/I²C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或并行码线，连</w:t>
      </w:r>
      <w:r>
        <w:rPr>
          <w:rFonts w:eastAsia="黑体"/>
        </w:rPr>
        <w:t xml:space="preserve"> RP1 </w:t>
      </w:r>
      <w:r>
        <w:rPr>
          <w:rFonts w:hint="eastAsia" w:eastAsia="黑体"/>
        </w:rPr>
        <w:t xml:space="preserve">的控制/数据脚）；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分压抽头节点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RP1 </w:t>
      </w:r>
      <w:r>
        <w:rPr>
          <w:rFonts w:hint="eastAsia" w:eastAsia="黑体"/>
        </w:rPr>
        <w:t xml:space="preserve">抽头端与</w:t>
      </w:r>
      <w:r>
        <w:rPr>
          <w:rFonts w:eastAsia="黑体"/>
        </w:rPr>
        <w:t xml:space="preserve"> U2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U2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脚与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脚）。</w:t>
      </w:r>
    </w:p>
    <w:p>
      <w:pPr/>
      <w:r>
        <w:rPr>
          <w:rFonts w:hint="eastAsia" w:eastAsia="黑体"/>
        </w:rPr>
        <w:t xml:space="preserve">各元件管脚连接：U1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的电源脚接节点①、地脚接节点②、输出脚接节点③；RP1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一端接节点③、另一端接节点②、抽头接节点⑤、控制/数据脚接节点④；U2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接节点①、V−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短接后接节点⑥，构成单位增益缓冲器。数字码经节点④改变</w:t>
      </w:r>
      <w:r>
        <w:rPr>
          <w:rFonts w:eastAsia="黑体"/>
        </w:rPr>
        <w:t xml:space="preserve"> RP1 </w:t>
      </w:r>
      <w:r>
        <w:rPr>
          <w:rFonts w:hint="eastAsia" w:eastAsia="黑体"/>
        </w:rPr>
        <w:t xml:space="preserve">的分压比，从而把基础基准电压按比例分压并经</w:t>
      </w:r>
      <w:r>
        <w:rPr>
          <w:rFonts w:eastAsia="黑体"/>
        </w:rPr>
        <w:t xml:space="preserve"> U2 </w:t>
      </w:r>
      <w:r>
        <w:rPr>
          <w:rFonts w:hint="eastAsia" w:eastAsia="黑体"/>
        </w:rPr>
        <w:t xml:space="preserve">低阻抗输出。</w:t>
      </w:r>
    </w:p>
    <w:p>
      <w:pPr/>
      <w:r>
        <w:rPr>
          <w:rFonts w:hint="eastAsia" w:eastAsia="黑体"/>
        </w:rPr>
        <w:t xml:space="preserve">由此构成”数字码可编程分压比、运放缓冲输出”的可编程基准组态，输出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⋅</m:t>
        </m:r>
        <m:r>
          <m:t>D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，用数字方式在量程内精确设定参考电压，用于需动态调整基准的场合。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内部产生一个高稳定基础基准电压，数字码改变可编程电阻网络的分压比，再经缓冲输出。输出电压等于基础基准乘以由码决定的比例，从而用数字方式精确设定输出电平。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D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分辨步长（LSB）：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满量程输出：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F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增益误差：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增益误差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实际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理想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理想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基础基准电压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数字码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编程位数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最小步长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编程位数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步长更细、分辨率提高，但接口与成本增加。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基础基准稳定度提高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全量程输出精度与温漂改善。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增益误差增大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各码点输出成比例偏离，需校准。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缓冲运放带宽/驱动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决定负载能力与建立时间。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4.096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L</m:t>
            </m:r>
            <m:r>
              <m:t>S</m:t>
            </m:r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4.096</m:t>
            </m:r>
          </m:num>
          <m:den>
            <m:r>
              <m:t>4096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2048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4.096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2048</m:t>
            </m:r>
          </m:num>
          <m:den>
            <m:r>
              <m:t>4096</m:t>
            </m:r>
          </m:den>
        </m:f>
        <m:r>
          <m:rPr>
            <m:sty m:val="p"/>
          </m:rPr>
          <m:t>=</m:t>
        </m:r>
        <m:r>
          <m:t>2.048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可编程基准：AD5231（数字电位计）、MCP4725（可编程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作基准）、LTC2620。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带微调基准：REF50xx（带</w:t>
      </w:r>
      <w:r>
        <w:rPr>
          <w:rFonts w:eastAsia="黑体"/>
        </w:rPr>
        <w:t xml:space="preserve"> SPI </w:t>
      </w:r>
      <w:r>
        <w:rPr>
          <w:rFonts w:hint="eastAsia" w:eastAsia="黑体"/>
        </w:rPr>
        <w:t xml:space="preserve">微调功能）。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编程码与输出电压的对应关系需查阅数据手册确认极性范围。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输出毛刺在码切换时可能产生，需滤波或屏蔽关键转换时刻。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数字接口噪声可能耦合到模拟输出，需良好地去耦与布局。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</w:t>
      </w:r>
      <w:r>
        <w:rPr>
          <w:rFonts w:hint="eastAsia" w:eastAsia="黑体"/>
        </w:rPr>
        <w:t xml:space="preserve">产品页：AD5231。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Microchip </w:t>
      </w:r>
      <w:r>
        <w:rPr>
          <w:rFonts w:hint="eastAsia" w:eastAsia="黑体"/>
        </w:rPr>
        <w:t xml:space="preserve">产品页：MCP4725。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Voltage reference。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可编程基准源电路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可编程基准源电路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