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带隙基准源电路"/>
    <w:p>
      <w:pPr>
        <w:pStyle w:val="Heading1"/>
      </w:pPr>
      <w:r>
        <w:rPr>
          <w:rFonts w:hint="eastAsia" w:eastAsia="黑体"/>
        </w:rPr>
        <w:t xml:space="preserve">带隙基准源电路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两个不同电流密度的双极型晶体管</w:t>
      </w:r>
      <w:r>
        <w:rPr>
          <w:rFonts w:eastAsia="黑体"/>
          <w:b/>
          <w:bCs/>
        </w:rPr>
        <w:t xml:space="preserve"> Q1、Q2</w:t>
      </w:r>
      <w:r>
        <w:rPr>
          <w:rFonts w:hint="eastAsia" w:eastAsia="黑体"/>
        </w:rPr>
        <w:t xml:space="preserve">（Q2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面积约为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倍）、</w:t>
      </w:r>
      <w:r>
        <w:rPr>
          <w:rFonts w:hint="eastAsia" w:eastAsia="黑体"/>
          <w:b/>
          <w:bCs/>
        </w:rPr>
        <w:t xml:space="preserve">产生正温度系数差压的电阻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叠加/输出电阻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（误差放大器）与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电流镜</w:t>
      </w:r>
      <w:r>
        <w:rPr>
          <w:rFonts w:eastAsia="黑体"/>
          <w:b/>
          <w:bCs/>
        </w:rPr>
        <w:t xml:space="preserve"> MP1/MP2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，接电流镜源极与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电源脚）；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（GND，接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发射极、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地脚）；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Q1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MP1 </w:t>
      </w:r>
      <w:r>
        <w:rPr>
          <w:rFonts w:hint="eastAsia" w:eastAsia="黑体"/>
        </w:rPr>
        <w:t xml:space="preserve">漏极与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反相输入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Q2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MP2 </w:t>
      </w:r>
      <w:r>
        <w:rPr>
          <w:rFonts w:hint="eastAsia" w:eastAsia="黑体"/>
        </w:rPr>
        <w:t xml:space="preserve">漏极与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同相输入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公共基极节点</w:t>
      </w:r>
      <w:r>
        <w:rPr>
          <w:rFonts w:hint="eastAsia" w:eastAsia="黑体"/>
        </w:rPr>
        <w:t xml:space="preserve">（Q1、Q2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相连，受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输出控制以平衡两路电流）；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发射极，经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到地，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的正温度系数差压）；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，由负温度系数的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与放大的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相加得到）。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MP1、MP2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接节点①（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）、栅极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输出（公共偏置）、漏极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分别接节点③与节点④；</w:t>
      </w:r>
      <w:r>
        <w:rPr>
          <w:rFonts w:eastAsia="黑体"/>
          <w:b/>
          <w:bCs/>
        </w:rPr>
        <w:t xml:space="preserve">Q1、Q2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接节点⑤、Q1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接节点③、Q2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接节点④、Q1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接节点②（GND）、Q2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接节点⑥；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一端接节点⑥、另一端接节点②（GND），两端为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接节点③、IN+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接节点④、输出端接节点⑤（平衡基准/驱动电流镜）、正电源脚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接节点①（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）、负电源脚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接节点②（GND）；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）或相应镜像输出支路、另一端接节点⑦（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），从而把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按比例相加。</w:t>
      </w:r>
    </w:p>
    <w:p>
      <w:pPr/>
      <w:r>
        <w:rPr>
          <w:rFonts w:hint="eastAsia" w:eastAsia="黑体"/>
        </w:rPr>
        <w:t xml:space="preserve">由此构成”两管不同电流密度产生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变为正温度系数电流、再与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按比例叠加”的带隙基准组态，正负温度系数相互抵消，得到约</w:t>
      </w:r>
      <w:r>
        <w:rPr>
          <w:rFonts w:eastAsia="黑体"/>
        </w:rPr>
        <w:t xml:space="preserve"> </w:t>
      </w:r>
      <m:oMath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、近似与温度无关的基准电压。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晶体管的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具有负温度系数（约</w:t>
      </w:r>
      <w:r>
        <w:rPr>
          <w:rFonts w:eastAsia="黑体"/>
        </w:rPr>
        <w:t xml:space="preserve"> -2 </w:t>
      </w:r>
      <w:r>
        <w:rPr>
          <w:rFonts w:hint="eastAsia" w:eastAsia="黑体"/>
        </w:rPr>
        <w:t xml:space="preserve">mV/℃），而两只管子的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具有正温度系数（约</w:t>
      </w:r>
      <w:r>
        <w:rPr>
          <w:rFonts w:eastAsia="黑体"/>
        </w:rPr>
        <w:t xml:space="preserve"> +0.085 </w:t>
      </w:r>
      <w:r>
        <w:rPr>
          <w:rFonts w:hint="eastAsia" w:eastAsia="黑体"/>
        </w:rPr>
        <w:t xml:space="preserve">mV/℃）。把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放大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倍后与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相加，正负温度系数相互抵消，获得零温度系数基准。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带隙基准输出电压：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差压（热电压关系）：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零温度系数条件（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温度系数约</w:t>
      </w:r>
      <w:r>
        <w:rPr>
          <w:rFonts w:eastAsia="黑体"/>
        </w:rPr>
        <w:t xml:space="preserve"> -2 </w:t>
      </w:r>
      <w:r>
        <w:rPr>
          <w:rFonts w:hint="eastAsia" w:eastAsia="黑体"/>
        </w:rPr>
        <w:t xml:space="preserve">mV/℃）：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ln</m:t>
              </m:r>
              <m:r>
                <m:t>N</m:t>
              </m:r>
            </m:e>
          </m:d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1.25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温度系数定义：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BE </w:t>
            </w:r>
            <w:r>
              <w:rPr>
                <w:rFonts w:hint="eastAsia" w:eastAsia="黑体"/>
              </w:rPr>
              <w:t xml:space="preserve">结电压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热电压（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两管电流密度比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比例电阻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1/℃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电阻比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正温度系数项放大，可调平温度曲线（过补偿则</w:t>
      </w:r>
      <w:r>
        <w:rPr>
          <w:rFonts w:eastAsia="黑体"/>
        </w:rPr>
        <w:t xml:space="preserve"> TC </w:t>
      </w:r>
      <w:r>
        <w:rPr>
          <w:rFonts w:hint="eastAsia" w:eastAsia="黑体"/>
        </w:rPr>
        <w:t xml:space="preserve">变正）。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电流密度比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增大，需减小放大倍数，同时改进匹配。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电阻绝对精度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影响输出绝对电压，需修调（trim）达高精度。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运放失调电压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直接引入输出误差，需低失调设计。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室温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q</m:t>
            </m:r>
          </m:den>
        </m:f>
        <m:r>
          <m:rPr>
            <m:sty m:val="p"/>
          </m:rPr>
          <m:t>≈</m:t>
        </m:r>
        <m:r>
          <m:t>25.85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25.85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ln</m:t>
        </m:r>
        <m:r>
          <m:t>8</m:t>
        </m:r>
        <m:r>
          <m:rPr>
            <m:sty m:val="p"/>
          </m:rPr>
          <m:t>≈</m:t>
        </m:r>
        <m:r>
          <m:t>53.7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；配合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≈</m:t>
        </m:r>
        <m:r>
          <m:t>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≈</m:t>
        </m:r>
        <m:r>
          <m:t>0.65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0.0537</m:t>
        </m:r>
        <m:r>
          <m:rPr>
            <m:sty m:val="p"/>
          </m:rPr>
          <m:t>≈</m:t>
        </m:r>
        <m:r>
          <m:t>0.865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（再经比例放大至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1.2V）。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集成带隙基准：REF192、LT1021、LM4040、AD780、TL431（三端带隙型可调）。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输出噪声与运放、电流源设计密切相关，低噪声基准追求低噪声运放与滤波。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高精度需激光修调（trimming）消除初始误差。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负载电流与输入电压变化会影响精度，注意降压差（dropout）与负载调整率。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Bandgap voltage reference。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《模拟集成电路设计》（拉扎维）。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应用笔记：Bandgap</w:t>
      </w:r>
      <w:r>
        <w:rPr>
          <w:rFonts w:eastAsia="黑体"/>
        </w:rPr>
        <w:t xml:space="preserve"> References。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带隙基准源电路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带隙基准源电路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